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A559" w14:textId="77777777" w:rsidR="00C858FD" w:rsidRDefault="00C858FD">
      <w:pPr>
        <w:widowControl w:val="0"/>
        <w:spacing w:after="0"/>
      </w:pPr>
    </w:p>
    <w:tbl>
      <w:tblPr>
        <w:tblStyle w:val="a"/>
        <w:tblW w:w="964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C858FD" w14:paraId="37431332" w14:textId="77777777">
        <w:trPr>
          <w:trHeight w:val="1060"/>
        </w:trPr>
        <w:tc>
          <w:tcPr>
            <w:tcW w:w="6521" w:type="dxa"/>
          </w:tcPr>
          <w:p w14:paraId="615633D4" w14:textId="77777777" w:rsidR="00C858FD" w:rsidRPr="00921C72" w:rsidRDefault="00895DBD">
            <w:pPr>
              <w:spacing w:after="0" w:line="240" w:lineRule="auto"/>
            </w:pPr>
            <w:r w:rsidRPr="00921C72">
              <w:rPr>
                <w:noProof/>
                <w:lang w:val="de-DE" w:eastAsia="de-DE"/>
              </w:rPr>
              <w:drawing>
                <wp:inline distT="0" distB="0" distL="0" distR="0" wp14:anchorId="3E739BBD" wp14:editId="742A7B7F">
                  <wp:extent cx="1534781" cy="428976"/>
                  <wp:effectExtent l="0" t="0" r="0" b="0"/>
                  <wp:docPr id="1" name="image2.jpg" descr="C:\Users\Soldra8i\Desktop\SIVANTOS_Logos_2015_01_08\SIVANTOS_Logos_2015_01_08\SIVANTOS_with_Tagline\JPG\SIVANTOS_Logo_Tagline_GS_1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Soldra8i\Desktop\SIVANTOS_Logos_2015_01_08\SIVANTOS_Logos_2015_01_08\SIVANTOS_with_Tagline\JPG\SIVANTOS_Logo_Tagline_GS_1C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81" cy="4289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14:paraId="430F2674" w14:textId="77777777" w:rsidR="00C858FD" w:rsidRPr="00921C72" w:rsidRDefault="00895DBD">
            <w:pPr>
              <w:spacing w:after="40" w:line="240" w:lineRule="auto"/>
              <w:ind w:left="-57"/>
              <w:rPr>
                <w:sz w:val="62"/>
                <w:szCs w:val="62"/>
              </w:rPr>
            </w:pPr>
            <w:r w:rsidRPr="00921C72">
              <w:rPr>
                <w:sz w:val="62"/>
                <w:szCs w:val="62"/>
              </w:rPr>
              <w:t>Press</w:t>
            </w:r>
          </w:p>
        </w:tc>
      </w:tr>
      <w:tr w:rsidR="00C858FD" w14:paraId="5DD40E71" w14:textId="77777777">
        <w:trPr>
          <w:trHeight w:val="900"/>
        </w:trPr>
        <w:tc>
          <w:tcPr>
            <w:tcW w:w="6521" w:type="dxa"/>
            <w:tcBorders>
              <w:top w:val="single" w:sz="4" w:space="0" w:color="000000"/>
              <w:bottom w:val="nil"/>
            </w:tcBorders>
          </w:tcPr>
          <w:p w14:paraId="234443F3" w14:textId="77777777" w:rsidR="00C858FD" w:rsidRDefault="00C858FD">
            <w:pPr>
              <w:spacing w:before="110"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nil"/>
            </w:tcBorders>
          </w:tcPr>
          <w:p w14:paraId="0CEF9281" w14:textId="37FDA545" w:rsidR="00C858FD" w:rsidRPr="00921C72" w:rsidRDefault="00191D63" w:rsidP="00FF5D81">
            <w:pPr>
              <w:spacing w:before="11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23E19" w:rsidRPr="00223E19">
              <w:rPr>
                <w:sz w:val="20"/>
                <w:szCs w:val="20"/>
              </w:rPr>
              <w:t>ingapore</w:t>
            </w:r>
            <w:r>
              <w:rPr>
                <w:sz w:val="20"/>
                <w:szCs w:val="20"/>
              </w:rPr>
              <w:t>,</w:t>
            </w:r>
            <w:r w:rsidR="00FF5D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 17</w:t>
            </w:r>
            <w:r w:rsidR="00074A5B">
              <w:rPr>
                <w:sz w:val="20"/>
                <w:szCs w:val="20"/>
              </w:rPr>
              <w:t xml:space="preserve">, </w:t>
            </w:r>
            <w:r w:rsidR="00EA6C56">
              <w:rPr>
                <w:sz w:val="20"/>
                <w:szCs w:val="20"/>
              </w:rPr>
              <w:t>2018</w:t>
            </w:r>
          </w:p>
        </w:tc>
      </w:tr>
    </w:tbl>
    <w:p w14:paraId="2B3AEC01" w14:textId="08FD3E4E" w:rsidR="00C858FD" w:rsidRPr="00AE56A5" w:rsidRDefault="0066059B">
      <w:pPr>
        <w:spacing w:after="0" w:line="240" w:lineRule="auto"/>
        <w:rPr>
          <w:sz w:val="40"/>
          <w:szCs w:val="40"/>
        </w:rPr>
      </w:pPr>
      <w:bookmarkStart w:id="0" w:name="_gjdgxs" w:colFirst="0" w:colLast="0"/>
      <w:bookmarkEnd w:id="0"/>
      <w:r>
        <w:rPr>
          <w:sz w:val="40"/>
          <w:szCs w:val="40"/>
        </w:rPr>
        <w:t>Si</w:t>
      </w:r>
      <w:r w:rsidR="00A30B24">
        <w:rPr>
          <w:sz w:val="40"/>
          <w:szCs w:val="40"/>
        </w:rPr>
        <w:t>vantos</w:t>
      </w:r>
      <w:r>
        <w:rPr>
          <w:sz w:val="40"/>
          <w:szCs w:val="40"/>
        </w:rPr>
        <w:t xml:space="preserve"> </w:t>
      </w:r>
      <w:r w:rsidR="00D81762">
        <w:rPr>
          <w:sz w:val="40"/>
          <w:szCs w:val="40"/>
        </w:rPr>
        <w:t>introduc</w:t>
      </w:r>
      <w:r>
        <w:rPr>
          <w:sz w:val="40"/>
          <w:szCs w:val="40"/>
        </w:rPr>
        <w:t xml:space="preserve">es </w:t>
      </w:r>
      <w:r w:rsidR="00A30B24">
        <w:rPr>
          <w:sz w:val="40"/>
          <w:szCs w:val="40"/>
        </w:rPr>
        <w:t xml:space="preserve">new Signia </w:t>
      </w:r>
      <w:r>
        <w:rPr>
          <w:sz w:val="40"/>
          <w:szCs w:val="40"/>
        </w:rPr>
        <w:t xml:space="preserve">in-the-ear hearing aids </w:t>
      </w:r>
      <w:r w:rsidR="00A30B24">
        <w:rPr>
          <w:sz w:val="40"/>
          <w:szCs w:val="40"/>
        </w:rPr>
        <w:t>with Bluetooth connectivity</w:t>
      </w:r>
    </w:p>
    <w:p w14:paraId="0E7CABDF" w14:textId="77777777" w:rsidR="00C858FD" w:rsidRPr="00AE56A5" w:rsidRDefault="00C858FD">
      <w:pPr>
        <w:spacing w:after="0" w:line="360" w:lineRule="auto"/>
      </w:pPr>
    </w:p>
    <w:p w14:paraId="2D6E35E4" w14:textId="56D1BF34" w:rsidR="00324571" w:rsidRPr="00AE56A5" w:rsidRDefault="00A30B24" w:rsidP="002547CB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b/>
        </w:rPr>
      </w:pPr>
      <w:proofErr w:type="spellStart"/>
      <w:r w:rsidRPr="00A30B24">
        <w:rPr>
          <w:b/>
        </w:rPr>
        <w:t>Signia</w:t>
      </w:r>
      <w:proofErr w:type="spellEnd"/>
      <w:r w:rsidR="004518C4" w:rsidRPr="00A30B24">
        <w:rPr>
          <w:b/>
        </w:rPr>
        <w:t xml:space="preserve"> </w:t>
      </w:r>
      <w:proofErr w:type="spellStart"/>
      <w:r w:rsidR="004518C4" w:rsidRPr="00A30B24">
        <w:rPr>
          <w:b/>
        </w:rPr>
        <w:t>Insio</w:t>
      </w:r>
      <w:proofErr w:type="spellEnd"/>
      <w:r w:rsidR="004518C4" w:rsidRPr="00A30B24">
        <w:rPr>
          <w:b/>
        </w:rPr>
        <w:t xml:space="preserve"> </w:t>
      </w:r>
      <w:proofErr w:type="spellStart"/>
      <w:r w:rsidR="004518C4" w:rsidRPr="00A30B24">
        <w:rPr>
          <w:b/>
        </w:rPr>
        <w:t>Nx</w:t>
      </w:r>
      <w:proofErr w:type="spellEnd"/>
      <w:r w:rsidR="004518C4" w:rsidRPr="00A30B24">
        <w:rPr>
          <w:b/>
        </w:rPr>
        <w:t xml:space="preserve"> ITC and ITE devices combine discretion with direct streaming of </w:t>
      </w:r>
      <w:r w:rsidR="004518C4" w:rsidRPr="00A0341E">
        <w:rPr>
          <w:b/>
        </w:rPr>
        <w:t>TV audio,</w:t>
      </w:r>
      <w:r w:rsidR="004518C4" w:rsidRPr="00A30B24">
        <w:rPr>
          <w:b/>
        </w:rPr>
        <w:t xml:space="preserve"> music and phone calls</w:t>
      </w:r>
      <w:r w:rsidRPr="00324571">
        <w:rPr>
          <w:b/>
        </w:rPr>
        <w:t xml:space="preserve"> thanks to sophisticated miniaturization</w:t>
      </w:r>
    </w:p>
    <w:p w14:paraId="3C4C172B" w14:textId="54AAFF37" w:rsidR="00E46CC9" w:rsidRPr="00A30B24" w:rsidRDefault="00324571" w:rsidP="002547CB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b/>
        </w:rPr>
      </w:pPr>
      <w:r>
        <w:rPr>
          <w:b/>
        </w:rPr>
        <w:t xml:space="preserve">Especially developed antennas and Ultra HD e2e binaural link provide </w:t>
      </w:r>
      <w:r w:rsidR="00191D63">
        <w:rPr>
          <w:b/>
        </w:rPr>
        <w:t>first</w:t>
      </w:r>
      <w:r w:rsidR="00A30B24" w:rsidRPr="008B4412">
        <w:rPr>
          <w:b/>
        </w:rPr>
        <w:t>-class</w:t>
      </w:r>
      <w:r w:rsidR="002547CB">
        <w:rPr>
          <w:rStyle w:val="Kommentarzeichen"/>
        </w:rPr>
        <w:t xml:space="preserve"> </w:t>
      </w:r>
      <w:r w:rsidR="002547CB" w:rsidRPr="002547CB">
        <w:rPr>
          <w:b/>
        </w:rPr>
        <w:t>st</w:t>
      </w:r>
      <w:r w:rsidR="002668DD" w:rsidRPr="00A30B24">
        <w:rPr>
          <w:b/>
        </w:rPr>
        <w:t>ereo sound quality</w:t>
      </w:r>
      <w:r>
        <w:rPr>
          <w:b/>
        </w:rPr>
        <w:t xml:space="preserve"> and a natural hearing experience</w:t>
      </w:r>
    </w:p>
    <w:p w14:paraId="594F678A" w14:textId="77777777" w:rsidR="00C858FD" w:rsidRPr="00AE56A5" w:rsidRDefault="00C858FD">
      <w:pPr>
        <w:spacing w:after="0" w:line="360" w:lineRule="auto"/>
      </w:pPr>
    </w:p>
    <w:p w14:paraId="75681078" w14:textId="6F647803" w:rsidR="00444650" w:rsidRDefault="009E2361" w:rsidP="004518C4">
      <w:pPr>
        <w:spacing w:after="0" w:line="360" w:lineRule="auto"/>
      </w:pPr>
      <w:r w:rsidRPr="00AE56A5">
        <w:t>Audiology</w:t>
      </w:r>
      <w:r w:rsidR="00174D8C" w:rsidRPr="00AE56A5">
        <w:t xml:space="preserve"> </w:t>
      </w:r>
      <w:r w:rsidR="00895DBD" w:rsidRPr="00AE56A5">
        <w:t>technology leader</w:t>
      </w:r>
      <w:r w:rsidR="001E26A6" w:rsidRPr="00AE56A5">
        <w:t xml:space="preserve"> Si</w:t>
      </w:r>
      <w:r w:rsidR="00451A7C" w:rsidRPr="00AE56A5">
        <w:t>vantos</w:t>
      </w:r>
      <w:r w:rsidR="00895DBD" w:rsidRPr="00AE56A5">
        <w:t xml:space="preserve"> today</w:t>
      </w:r>
      <w:r w:rsidR="003A5653">
        <w:t xml:space="preserve"> </w:t>
      </w:r>
      <w:r w:rsidR="00191D63">
        <w:t>presents its firs</w:t>
      </w:r>
      <w:r w:rsidR="0065338C">
        <w:t>t</w:t>
      </w:r>
      <w:r w:rsidR="00895DBD" w:rsidRPr="00AE56A5">
        <w:t xml:space="preserve"> </w:t>
      </w:r>
      <w:r w:rsidR="00AD1816">
        <w:t xml:space="preserve">in-the-ear </w:t>
      </w:r>
      <w:r w:rsidR="00444650">
        <w:t xml:space="preserve">custom </w:t>
      </w:r>
      <w:r w:rsidR="0065338C">
        <w:t xml:space="preserve">hearing aids with the natural hearing experience of the </w:t>
      </w:r>
      <w:proofErr w:type="spellStart"/>
      <w:r w:rsidR="0065338C">
        <w:t>Signia</w:t>
      </w:r>
      <w:proofErr w:type="spellEnd"/>
      <w:r w:rsidR="0065338C">
        <w:t xml:space="preserve"> </w:t>
      </w:r>
      <w:proofErr w:type="spellStart"/>
      <w:r w:rsidR="0065338C">
        <w:t>Nx</w:t>
      </w:r>
      <w:proofErr w:type="spellEnd"/>
      <w:r w:rsidR="0065338C">
        <w:t xml:space="preserve"> platform and Bluetooth connectivity.</w:t>
      </w:r>
      <w:r w:rsidR="00444650">
        <w:t xml:space="preserve"> </w:t>
      </w:r>
      <w:r w:rsidR="004518C4">
        <w:t xml:space="preserve">Compatible with </w:t>
      </w:r>
      <w:proofErr w:type="spellStart"/>
      <w:r w:rsidR="004518C4">
        <w:t>StreamLine</w:t>
      </w:r>
      <w:proofErr w:type="spellEnd"/>
      <w:r w:rsidR="004518C4">
        <w:t xml:space="preserve"> Mic and </w:t>
      </w:r>
      <w:proofErr w:type="spellStart"/>
      <w:r w:rsidR="004518C4">
        <w:t>StreamLine</w:t>
      </w:r>
      <w:proofErr w:type="spellEnd"/>
      <w:r w:rsidR="004518C4">
        <w:t xml:space="preserve"> TV, the </w:t>
      </w:r>
      <w:r w:rsidR="00A0341E">
        <w:t>almost invisible</w:t>
      </w:r>
      <w:r w:rsidR="004518C4">
        <w:t xml:space="preserve"> </w:t>
      </w:r>
      <w:proofErr w:type="spellStart"/>
      <w:r w:rsidR="00444650">
        <w:t>Insio</w:t>
      </w:r>
      <w:proofErr w:type="spellEnd"/>
      <w:r w:rsidR="00444650">
        <w:t xml:space="preserve"> </w:t>
      </w:r>
      <w:proofErr w:type="spellStart"/>
      <w:r w:rsidR="00444650">
        <w:t>Nx</w:t>
      </w:r>
      <w:proofErr w:type="spellEnd"/>
      <w:r w:rsidR="00444650">
        <w:t xml:space="preserve"> </w:t>
      </w:r>
      <w:r w:rsidR="00324571">
        <w:t>in-the-canal (</w:t>
      </w:r>
      <w:r w:rsidR="00444650">
        <w:t>ITC</w:t>
      </w:r>
      <w:r w:rsidR="00324571">
        <w:t>)</w:t>
      </w:r>
      <w:r w:rsidR="00444650">
        <w:t xml:space="preserve"> and </w:t>
      </w:r>
      <w:r w:rsidR="00A0341E">
        <w:t xml:space="preserve">the discreet </w:t>
      </w:r>
      <w:r w:rsidR="00324571">
        <w:t>in-the-ear (</w:t>
      </w:r>
      <w:r w:rsidR="00444650">
        <w:t>ITE</w:t>
      </w:r>
      <w:r w:rsidR="00324571">
        <w:t>)</w:t>
      </w:r>
      <w:r w:rsidR="00444650">
        <w:t xml:space="preserve"> </w:t>
      </w:r>
      <w:r w:rsidR="004518C4">
        <w:t>hearing aids are made to connect to the wearer’s smartphone, TV, and other Bluetooth</w:t>
      </w:r>
      <w:r w:rsidR="00444650">
        <w:t>-enabled</w:t>
      </w:r>
      <w:r w:rsidR="004518C4">
        <w:t xml:space="preserve"> devices.</w:t>
      </w:r>
    </w:p>
    <w:p w14:paraId="00B4A88D" w14:textId="77777777" w:rsidR="00444650" w:rsidRDefault="00444650" w:rsidP="004518C4">
      <w:pPr>
        <w:spacing w:after="0" w:line="360" w:lineRule="auto"/>
      </w:pPr>
    </w:p>
    <w:p w14:paraId="2085FCB5" w14:textId="757296F2" w:rsidR="004518C4" w:rsidRDefault="00067B63" w:rsidP="004518C4">
      <w:pPr>
        <w:spacing w:after="0" w:line="360" w:lineRule="auto"/>
      </w:pPr>
      <w:r>
        <w:t>A sophisticated level of technological miniaturization was required to complement these high-performance custom devices with Bluetooth connectivity. The t</w:t>
      </w:r>
      <w:r w:rsidR="004518C4">
        <w:t xml:space="preserve">iny antennas </w:t>
      </w:r>
      <w:r>
        <w:t xml:space="preserve">developed for this purpose and </w:t>
      </w:r>
      <w:r w:rsidR="004518C4">
        <w:t xml:space="preserve">integrated in the faceplates </w:t>
      </w:r>
      <w:r>
        <w:t xml:space="preserve">not only solve this challenge, they </w:t>
      </w:r>
      <w:r w:rsidR="00797832">
        <w:t xml:space="preserve">also </w:t>
      </w:r>
      <w:r w:rsidR="004518C4">
        <w:t xml:space="preserve">provide </w:t>
      </w:r>
      <w:r w:rsidR="00191D63">
        <w:t>first</w:t>
      </w:r>
      <w:r w:rsidR="004518C4">
        <w:t xml:space="preserve">-class </w:t>
      </w:r>
      <w:r w:rsidR="005B4786">
        <w:t xml:space="preserve">stereo </w:t>
      </w:r>
      <w:r w:rsidR="004518C4">
        <w:t>sound quality when streaming.</w:t>
      </w:r>
      <w:r w:rsidR="005B4786">
        <w:t xml:space="preserve"> Even phone calls can be heard in both ears.</w:t>
      </w:r>
    </w:p>
    <w:p w14:paraId="18D9A81B" w14:textId="77777777" w:rsidR="004518C4" w:rsidRDefault="004518C4" w:rsidP="004518C4">
      <w:pPr>
        <w:spacing w:after="0" w:line="360" w:lineRule="auto"/>
      </w:pPr>
    </w:p>
    <w:p w14:paraId="24C27008" w14:textId="7F40BDFA" w:rsidR="00900C72" w:rsidRDefault="004518C4" w:rsidP="00E62276">
      <w:pPr>
        <w:spacing w:after="0" w:line="360" w:lineRule="auto"/>
      </w:pPr>
      <w:proofErr w:type="spellStart"/>
      <w:r>
        <w:t>Insio</w:t>
      </w:r>
      <w:proofErr w:type="spellEnd"/>
      <w:r>
        <w:t xml:space="preserve"> </w:t>
      </w:r>
      <w:proofErr w:type="spellStart"/>
      <w:r>
        <w:t>Nx</w:t>
      </w:r>
      <w:proofErr w:type="spellEnd"/>
      <w:r>
        <w:t xml:space="preserve"> hearing aids are equipped with</w:t>
      </w:r>
      <w:r w:rsidR="00123BB4">
        <w:t xml:space="preserve"> </w:t>
      </w:r>
      <w:proofErr w:type="spellStart"/>
      <w:r w:rsidR="00873E30">
        <w:t>Signia’s</w:t>
      </w:r>
      <w:proofErr w:type="spellEnd"/>
      <w:r w:rsidR="00576401">
        <w:t xml:space="preserve"> Ultra HD e2e</w:t>
      </w:r>
      <w:r w:rsidR="00074A5B" w:rsidRPr="00074A5B">
        <w:rPr>
          <w:vertAlign w:val="superscript"/>
        </w:rPr>
        <w:t>TM</w:t>
      </w:r>
      <w:r w:rsidR="00576401">
        <w:t xml:space="preserve"> binaural link, which enables the left and right hearing aids to exchange audio information continuously, </w:t>
      </w:r>
      <w:r w:rsidR="00067B63">
        <w:t>delivering</w:t>
      </w:r>
      <w:r w:rsidR="00576401">
        <w:t xml:space="preserve"> the most natural hearing experience. Wearers enjoy excellent speech understanding and the natural sound quality </w:t>
      </w:r>
      <w:r w:rsidR="00324571">
        <w:t xml:space="preserve">even </w:t>
      </w:r>
      <w:r w:rsidR="00576401">
        <w:t>in noisy situations.</w:t>
      </w:r>
    </w:p>
    <w:p w14:paraId="2F605C6A" w14:textId="1EC6225B" w:rsidR="008F127F" w:rsidRDefault="008F127F" w:rsidP="00E62276">
      <w:pPr>
        <w:spacing w:after="0" w:line="360" w:lineRule="auto"/>
      </w:pPr>
    </w:p>
    <w:p w14:paraId="3220BA5A" w14:textId="13B729A8" w:rsidR="008F127F" w:rsidRDefault="008F127F" w:rsidP="00E62276">
      <w:pPr>
        <w:spacing w:after="0" w:line="360" w:lineRule="auto"/>
        <w:rPr>
          <w:lang w:val="en-GB"/>
        </w:rPr>
      </w:pPr>
      <w:r>
        <w:t xml:space="preserve">For more information: </w:t>
      </w:r>
      <w:hyperlink r:id="rId9" w:history="1">
        <w:r>
          <w:rPr>
            <w:rStyle w:val="Hyperlink"/>
            <w:lang w:val="en-GB"/>
          </w:rPr>
          <w:t>www.signia-pro.com/insionx-bluetooth/</w:t>
        </w:r>
      </w:hyperlink>
    </w:p>
    <w:p w14:paraId="74C5D77D" w14:textId="7C5CF2DD" w:rsidR="008F127F" w:rsidRDefault="008F127F" w:rsidP="00E62276">
      <w:pPr>
        <w:spacing w:after="0" w:line="360" w:lineRule="auto"/>
      </w:pPr>
    </w:p>
    <w:p w14:paraId="14DDF828" w14:textId="77777777" w:rsidR="00191D63" w:rsidRDefault="00191D63" w:rsidP="00E62276">
      <w:pPr>
        <w:spacing w:after="0" w:line="360" w:lineRule="auto"/>
      </w:pPr>
    </w:p>
    <w:p w14:paraId="4FEEDFDA" w14:textId="06D01E8C" w:rsidR="008F127F" w:rsidRPr="008B4412" w:rsidRDefault="008F127F" w:rsidP="00E62276">
      <w:pPr>
        <w:spacing w:after="0" w:line="360" w:lineRule="auto"/>
        <w:rPr>
          <w:sz w:val="16"/>
          <w:szCs w:val="16"/>
        </w:rPr>
      </w:pPr>
    </w:p>
    <w:p w14:paraId="7666DD08" w14:textId="77777777" w:rsidR="00324571" w:rsidRDefault="00324571" w:rsidP="00324571">
      <w:pPr>
        <w:pStyle w:val="Default"/>
        <w:spacing w:after="200"/>
        <w:rPr>
          <w:b/>
          <w:bCs/>
          <w:color w:val="auto"/>
          <w:sz w:val="20"/>
          <w:szCs w:val="20"/>
          <w:lang w:val="en-US"/>
        </w:rPr>
      </w:pPr>
      <w:r w:rsidRPr="00B97014">
        <w:rPr>
          <w:b/>
          <w:bCs/>
          <w:color w:val="auto"/>
          <w:sz w:val="20"/>
          <w:szCs w:val="20"/>
          <w:lang w:val="en-US"/>
        </w:rPr>
        <w:lastRenderedPageBreak/>
        <w:t xml:space="preserve">About the Sivantos Group </w:t>
      </w:r>
    </w:p>
    <w:p w14:paraId="633A7477" w14:textId="77777777" w:rsidR="00324571" w:rsidRPr="006862A4" w:rsidRDefault="00324571" w:rsidP="00324571">
      <w:pPr>
        <w:spacing w:after="0" w:line="360" w:lineRule="auto"/>
        <w:rPr>
          <w:sz w:val="16"/>
          <w:szCs w:val="16"/>
        </w:rPr>
      </w:pPr>
      <w:r w:rsidRPr="006862A4">
        <w:rPr>
          <w:sz w:val="16"/>
          <w:szCs w:val="16"/>
        </w:rPr>
        <w:t>The business operations of the former Siemens AG hearing aid division have been combined into the Sivantos Group</w:t>
      </w:r>
    </w:p>
    <w:p w14:paraId="22354989" w14:textId="77777777" w:rsidR="0057353D" w:rsidRDefault="00324571" w:rsidP="0057353D">
      <w:pPr>
        <w:spacing w:after="0" w:line="360" w:lineRule="auto"/>
        <w:rPr>
          <w:sz w:val="16"/>
          <w:szCs w:val="16"/>
        </w:rPr>
      </w:pPr>
      <w:r w:rsidRPr="006862A4">
        <w:rPr>
          <w:sz w:val="16"/>
          <w:szCs w:val="16"/>
        </w:rPr>
        <w:t>since early 2015</w:t>
      </w:r>
      <w:r w:rsidR="0057353D">
        <w:rPr>
          <w:sz w:val="16"/>
          <w:szCs w:val="16"/>
        </w:rPr>
        <w:t>. Sivantos can look back on 140 years of German engineering and countless global innovations.</w:t>
      </w:r>
    </w:p>
    <w:p w14:paraId="7152C81C" w14:textId="77777777" w:rsidR="0057353D" w:rsidRDefault="0057353D" w:rsidP="0057353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Today Sivantos is one of the leading hearing aid manufacturers worldwide. With its around 6,000 employees, the group</w:t>
      </w:r>
    </w:p>
    <w:p w14:paraId="0FD3D4FC" w14:textId="77777777" w:rsidR="0057353D" w:rsidRDefault="0057353D" w:rsidP="0057353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recorded revenues of 967 million euros in the fiscal year 2016/2017 and an adj. EBITDA of 238 million</w:t>
      </w:r>
    </w:p>
    <w:p w14:paraId="4C9E6FEF" w14:textId="77777777" w:rsidR="0057353D" w:rsidRDefault="0057353D" w:rsidP="0057353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euros. Sivantos' international sales organization supplies hearing care specialists and sales partners in more than 120</w:t>
      </w:r>
    </w:p>
    <w:p w14:paraId="7538F9FD" w14:textId="77777777" w:rsidR="0057353D" w:rsidRDefault="0057353D" w:rsidP="0057353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countries. Particularly high value is placed on product development. Sivantos aims to become the market leader in the</w:t>
      </w:r>
    </w:p>
    <w:p w14:paraId="25DB5AC5" w14:textId="77777777" w:rsidR="0057353D" w:rsidRDefault="0057353D" w:rsidP="0057353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coming years with its brands Signia, Siemens, Audio Service, </w:t>
      </w:r>
      <w:proofErr w:type="spellStart"/>
      <w:r>
        <w:rPr>
          <w:sz w:val="16"/>
          <w:szCs w:val="16"/>
        </w:rPr>
        <w:t>Rexton</w:t>
      </w:r>
      <w:proofErr w:type="spellEnd"/>
      <w:r>
        <w:rPr>
          <w:sz w:val="16"/>
          <w:szCs w:val="16"/>
        </w:rPr>
        <w:t xml:space="preserve">, A&amp;M, </w:t>
      </w:r>
      <w:proofErr w:type="spellStart"/>
      <w:r>
        <w:rPr>
          <w:sz w:val="16"/>
          <w:szCs w:val="16"/>
        </w:rPr>
        <w:t>HearUSA</w:t>
      </w:r>
      <w:proofErr w:type="spellEnd"/>
      <w:r>
        <w:rPr>
          <w:sz w:val="16"/>
          <w:szCs w:val="16"/>
        </w:rPr>
        <w:t xml:space="preserve"> and audibene. The owners of</w:t>
      </w:r>
    </w:p>
    <w:p w14:paraId="4E528F94" w14:textId="0FFC85DC" w:rsidR="00324571" w:rsidRPr="006862A4" w:rsidRDefault="0057353D" w:rsidP="00324571">
      <w:pPr>
        <w:spacing w:after="0" w:line="360" w:lineRule="auto"/>
        <w:rPr>
          <w:sz w:val="16"/>
          <w:szCs w:val="16"/>
        </w:rPr>
      </w:pPr>
      <w:r>
        <w:rPr>
          <w:color w:val="auto"/>
          <w:sz w:val="16"/>
          <w:szCs w:val="16"/>
        </w:rPr>
        <w:t xml:space="preserve">Sivantos are the anchor investors EQT along with the </w:t>
      </w:r>
      <w:proofErr w:type="spellStart"/>
      <w:r>
        <w:rPr>
          <w:color w:val="auto"/>
          <w:sz w:val="16"/>
          <w:szCs w:val="16"/>
        </w:rPr>
        <w:t>Strüngmann</w:t>
      </w:r>
      <w:proofErr w:type="spellEnd"/>
      <w:r>
        <w:rPr>
          <w:color w:val="auto"/>
          <w:sz w:val="16"/>
          <w:szCs w:val="16"/>
        </w:rPr>
        <w:t xml:space="preserve"> family as a co-investor.</w:t>
      </w:r>
    </w:p>
    <w:p w14:paraId="4D751C2B" w14:textId="78C4329D" w:rsidR="00324571" w:rsidRPr="002547CB" w:rsidRDefault="00324571" w:rsidP="002547CB">
      <w:pPr>
        <w:spacing w:after="0" w:line="360" w:lineRule="auto"/>
        <w:rPr>
          <w:sz w:val="16"/>
          <w:szCs w:val="16"/>
        </w:rPr>
      </w:pPr>
      <w:r w:rsidRPr="006862A4">
        <w:rPr>
          <w:sz w:val="16"/>
          <w:szCs w:val="16"/>
        </w:rPr>
        <w:t xml:space="preserve">Sivantos GmbH is a brand license holder of Siemens AG. More information can be found at </w:t>
      </w:r>
      <w:hyperlink r:id="rId10" w:history="1">
        <w:r w:rsidRPr="00BC36DE">
          <w:rPr>
            <w:rStyle w:val="Hyperlink"/>
            <w:sz w:val="16"/>
            <w:szCs w:val="16"/>
          </w:rPr>
          <w:t>www.sivantos.com</w:t>
        </w:r>
      </w:hyperlink>
    </w:p>
    <w:p w14:paraId="6F9FE500" w14:textId="77777777" w:rsidR="00C75DFA" w:rsidRDefault="00C75DFA" w:rsidP="00E62276">
      <w:pPr>
        <w:spacing w:after="0" w:line="360" w:lineRule="auto"/>
      </w:pPr>
    </w:p>
    <w:p w14:paraId="3CE4D037" w14:textId="54337A26" w:rsidR="00E62276" w:rsidRPr="00921C72" w:rsidRDefault="00E62276" w:rsidP="00E62276">
      <w:pPr>
        <w:spacing w:after="120" w:line="360" w:lineRule="auto"/>
        <w:rPr>
          <w:b/>
        </w:rPr>
      </w:pPr>
      <w:r w:rsidRPr="00921C72">
        <w:rPr>
          <w:b/>
        </w:rPr>
        <w:t>Contact for journalists:</w:t>
      </w:r>
    </w:p>
    <w:p w14:paraId="1DE7B3F7" w14:textId="7107F3EA" w:rsidR="00900C72" w:rsidRPr="00BC0D84" w:rsidRDefault="00E62276" w:rsidP="00E62276">
      <w:pPr>
        <w:spacing w:after="0" w:line="360" w:lineRule="auto"/>
      </w:pPr>
      <w:r w:rsidRPr="00BC0D84">
        <w:t>Erika Weigmann</w:t>
      </w:r>
    </w:p>
    <w:p w14:paraId="1C4EC275" w14:textId="430F8108" w:rsidR="00900C72" w:rsidRPr="002547CB" w:rsidRDefault="00E62276" w:rsidP="002547CB">
      <w:pPr>
        <w:spacing w:after="0" w:line="360" w:lineRule="auto"/>
        <w:rPr>
          <w:color w:val="0563C1" w:themeColor="hyperlink"/>
          <w:u w:val="single"/>
        </w:rPr>
      </w:pPr>
      <w:r w:rsidRPr="00BC0D84">
        <w:t>Phone:</w:t>
      </w:r>
      <w:r w:rsidR="00CB636C" w:rsidRPr="00BC0D84">
        <w:t xml:space="preserve"> +49 9131 308 3449; E-</w:t>
      </w:r>
      <w:r w:rsidR="00074A5B">
        <w:t>M</w:t>
      </w:r>
      <w:r w:rsidR="00CB636C" w:rsidRPr="00BC0D84">
        <w:t>ail:</w:t>
      </w:r>
      <w:r w:rsidRPr="00BC0D84">
        <w:t xml:space="preserve"> </w:t>
      </w:r>
      <w:hyperlink r:id="rId11" w:history="1">
        <w:r w:rsidRPr="00BC0D84">
          <w:rPr>
            <w:rStyle w:val="Hyperlink"/>
          </w:rPr>
          <w:t>erika.weigmann@sivantos.com</w:t>
        </w:r>
      </w:hyperlink>
    </w:p>
    <w:p w14:paraId="16480E56" w14:textId="30C4B739" w:rsidR="000E4268" w:rsidRPr="00BC0D84" w:rsidRDefault="000E4268" w:rsidP="00E62276">
      <w:pPr>
        <w:spacing w:after="120" w:line="360" w:lineRule="auto"/>
        <w:rPr>
          <w:b/>
        </w:rPr>
      </w:pPr>
    </w:p>
    <w:p w14:paraId="768B00EE" w14:textId="4B0C032C" w:rsidR="00E62276" w:rsidRPr="00921C72" w:rsidRDefault="00E62276" w:rsidP="00E62276">
      <w:pPr>
        <w:spacing w:after="120" w:line="360" w:lineRule="auto"/>
        <w:rPr>
          <w:b/>
        </w:rPr>
      </w:pPr>
      <w:r w:rsidRPr="00921C72">
        <w:rPr>
          <w:b/>
        </w:rPr>
        <w:t>Press images</w:t>
      </w:r>
    </w:p>
    <w:p w14:paraId="4DAFA68B" w14:textId="5D695B89" w:rsidR="00E62276" w:rsidRDefault="00E62276" w:rsidP="00E62276">
      <w:pPr>
        <w:spacing w:after="0" w:line="360" w:lineRule="auto"/>
      </w:pPr>
      <w:r w:rsidRPr="00CB636C">
        <w:t>All photos are available for download at</w:t>
      </w:r>
      <w:r w:rsidR="009C1B99">
        <w:t xml:space="preserve"> </w:t>
      </w:r>
      <w:hyperlink r:id="rId12" w:history="1">
        <w:r w:rsidR="009C1B99">
          <w:rPr>
            <w:rStyle w:val="Hyperlink"/>
          </w:rPr>
          <w:t>sivantos.com/category/press/</w:t>
        </w:r>
      </w:hyperlink>
    </w:p>
    <w:p w14:paraId="6694F48A" w14:textId="06898180" w:rsidR="00E62276" w:rsidRDefault="00E62276" w:rsidP="00E62276">
      <w:pPr>
        <w:spacing w:after="0" w:line="240" w:lineRule="auto"/>
        <w:rPr>
          <w:u w:val="single"/>
        </w:rPr>
      </w:pPr>
    </w:p>
    <w:p w14:paraId="3731B1CA" w14:textId="6439CAF6" w:rsidR="00324DC4" w:rsidRDefault="00302699" w:rsidP="002547CB">
      <w:pPr>
        <w:rPr>
          <w:sz w:val="20"/>
          <w:szCs w:val="20"/>
        </w:rPr>
      </w:pPr>
      <w:r>
        <w:rPr>
          <w:noProof/>
          <w:highlight w:val="lightGray"/>
        </w:rPr>
        <w:drawing>
          <wp:anchor distT="0" distB="0" distL="114300" distR="114300" simplePos="0" relativeHeight="251659264" behindDoc="0" locked="0" layoutInCell="1" allowOverlap="1" wp14:anchorId="722DDCCE" wp14:editId="43327380">
            <wp:simplePos x="0" y="0"/>
            <wp:positionH relativeFrom="column">
              <wp:posOffset>-259715</wp:posOffset>
            </wp:positionH>
            <wp:positionV relativeFrom="paragraph">
              <wp:posOffset>277808</wp:posOffset>
            </wp:positionV>
            <wp:extent cx="2315210" cy="1758315"/>
            <wp:effectExtent l="0" t="0" r="0" b="0"/>
            <wp:wrapThrough wrapText="bothSides">
              <wp:wrapPolygon edited="0">
                <wp:start x="12441" y="1872"/>
                <wp:lineTo x="11197" y="3042"/>
                <wp:lineTo x="11019" y="3978"/>
                <wp:lineTo x="11197" y="6085"/>
                <wp:lineTo x="5687" y="7957"/>
                <wp:lineTo x="3555" y="8893"/>
                <wp:lineTo x="3021" y="17551"/>
                <wp:lineTo x="3910" y="19892"/>
                <wp:lineTo x="5510" y="20828"/>
                <wp:lineTo x="10131" y="20828"/>
                <wp:lineTo x="10841" y="20126"/>
                <wp:lineTo x="13152" y="17551"/>
                <wp:lineTo x="14929" y="17317"/>
                <wp:lineTo x="16529" y="15445"/>
                <wp:lineTo x="16173" y="13573"/>
                <wp:lineTo x="18484" y="9829"/>
                <wp:lineTo x="17773" y="5382"/>
                <wp:lineTo x="16173" y="2808"/>
                <wp:lineTo x="15285" y="1872"/>
                <wp:lineTo x="12441" y="1872"/>
              </wp:wrapPolygon>
            </wp:wrapThrough>
            <wp:docPr id="4" name="Grafik 4" descr="C:\Users\Z003HK3A\Desktop\Insio ITE&amp;I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03HK3A\Desktop\Insio ITE&amp;IT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3" b="7170"/>
                    <a:stretch/>
                  </pic:blipFill>
                  <pic:spPr bwMode="auto">
                    <a:xfrm>
                      <a:off x="0" y="0"/>
                      <a:ext cx="231521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CB">
        <w:rPr>
          <w:sz w:val="20"/>
          <w:szCs w:val="20"/>
        </w:rPr>
        <w:tab/>
      </w:r>
      <w:r w:rsidR="002547CB">
        <w:rPr>
          <w:sz w:val="20"/>
          <w:szCs w:val="20"/>
        </w:rPr>
        <w:tab/>
      </w:r>
      <w:r w:rsidR="002547CB">
        <w:rPr>
          <w:sz w:val="20"/>
          <w:szCs w:val="20"/>
        </w:rPr>
        <w:tab/>
      </w:r>
      <w:r w:rsidR="002547CB">
        <w:rPr>
          <w:sz w:val="20"/>
          <w:szCs w:val="20"/>
        </w:rPr>
        <w:tab/>
      </w:r>
      <w:r w:rsidR="002547CB">
        <w:rPr>
          <w:sz w:val="20"/>
          <w:szCs w:val="20"/>
        </w:rPr>
        <w:tab/>
      </w:r>
      <w:r w:rsidR="002547CB">
        <w:rPr>
          <w:sz w:val="20"/>
          <w:szCs w:val="20"/>
        </w:rPr>
        <w:tab/>
      </w:r>
    </w:p>
    <w:p w14:paraId="1887ED3B" w14:textId="0DA3080C" w:rsidR="002547CB" w:rsidRDefault="002547CB" w:rsidP="002547CB">
      <w:pPr>
        <w:spacing w:after="0" w:line="360" w:lineRule="auto"/>
        <w:ind w:left="5760"/>
      </w:pPr>
    </w:p>
    <w:p w14:paraId="42787F5D" w14:textId="77777777" w:rsidR="00302699" w:rsidRDefault="00302699" w:rsidP="002547CB">
      <w:pPr>
        <w:spacing w:after="0" w:line="360" w:lineRule="auto"/>
        <w:ind w:left="5760"/>
      </w:pPr>
    </w:p>
    <w:p w14:paraId="5AD66E36" w14:textId="253BE219" w:rsidR="00E62276" w:rsidRDefault="00700585" w:rsidP="00302699">
      <w:pPr>
        <w:spacing w:after="0" w:line="360" w:lineRule="auto"/>
        <w:ind w:left="5529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="00A0341E" w:rsidRPr="00700585">
        <w:rPr>
          <w:sz w:val="20"/>
          <w:szCs w:val="20"/>
        </w:rPr>
        <w:t>ignia</w:t>
      </w:r>
      <w:proofErr w:type="spellEnd"/>
      <w:r w:rsidR="00A0341E" w:rsidRPr="00700585">
        <w:rPr>
          <w:sz w:val="20"/>
          <w:szCs w:val="20"/>
        </w:rPr>
        <w:t xml:space="preserve"> </w:t>
      </w:r>
      <w:proofErr w:type="spellStart"/>
      <w:r w:rsidR="00A0341E" w:rsidRPr="00700585">
        <w:rPr>
          <w:sz w:val="20"/>
          <w:szCs w:val="20"/>
        </w:rPr>
        <w:t>Insio</w:t>
      </w:r>
      <w:proofErr w:type="spellEnd"/>
      <w:r w:rsidR="00A0341E" w:rsidRPr="00700585">
        <w:rPr>
          <w:sz w:val="20"/>
          <w:szCs w:val="20"/>
        </w:rPr>
        <w:t xml:space="preserve"> </w:t>
      </w:r>
      <w:proofErr w:type="spellStart"/>
      <w:r w:rsidR="00A0341E" w:rsidRPr="00700585">
        <w:rPr>
          <w:sz w:val="20"/>
          <w:szCs w:val="20"/>
        </w:rPr>
        <w:t>Nx</w:t>
      </w:r>
      <w:proofErr w:type="spellEnd"/>
      <w:r w:rsidR="00A0341E" w:rsidRPr="00700585">
        <w:rPr>
          <w:sz w:val="20"/>
          <w:szCs w:val="20"/>
        </w:rPr>
        <w:t xml:space="preserve"> ITC and ITE devices combine discretion with direct streaming of TV audio, music and phone calls</w:t>
      </w:r>
      <w:r w:rsidR="00302699">
        <w:rPr>
          <w:sz w:val="20"/>
          <w:szCs w:val="20"/>
        </w:rPr>
        <w:t>.</w:t>
      </w:r>
      <w:r w:rsidR="00A0341E" w:rsidRPr="00324571">
        <w:rPr>
          <w:b/>
        </w:rPr>
        <w:t xml:space="preserve"> </w:t>
      </w:r>
      <w:r w:rsidR="00302699">
        <w:rPr>
          <w:b/>
        </w:rPr>
        <w:br/>
      </w:r>
      <w:r w:rsidR="002547CB" w:rsidRPr="00A0341E">
        <w:rPr>
          <w:sz w:val="20"/>
          <w:szCs w:val="20"/>
        </w:rPr>
        <w:t>Copyright: Sivantos</w:t>
      </w:r>
    </w:p>
    <w:p w14:paraId="055D909C" w14:textId="77777777" w:rsidR="00F96DCD" w:rsidRDefault="00F96DCD" w:rsidP="00302699">
      <w:pPr>
        <w:spacing w:after="0" w:line="360" w:lineRule="auto"/>
        <w:ind w:left="5529"/>
        <w:rPr>
          <w:sz w:val="20"/>
          <w:szCs w:val="20"/>
        </w:rPr>
      </w:pPr>
    </w:p>
    <w:p w14:paraId="556A1EF6" w14:textId="668403DE" w:rsidR="00302699" w:rsidRDefault="00302699" w:rsidP="00302699">
      <w:pPr>
        <w:spacing w:after="0" w:line="360" w:lineRule="auto"/>
        <w:ind w:left="5529"/>
        <w:rPr>
          <w:sz w:val="20"/>
          <w:szCs w:val="20"/>
        </w:rPr>
      </w:pPr>
    </w:p>
    <w:p w14:paraId="73B23FAB" w14:textId="7195424C" w:rsidR="00302699" w:rsidRDefault="00302699" w:rsidP="00302699">
      <w:pPr>
        <w:spacing w:after="0" w:line="360" w:lineRule="auto"/>
        <w:ind w:left="5529"/>
        <w:rPr>
          <w:sz w:val="20"/>
          <w:szCs w:val="20"/>
        </w:rPr>
      </w:pPr>
      <w:r w:rsidRPr="002547C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F1A3A67" wp14:editId="42C20139">
            <wp:simplePos x="0" y="0"/>
            <wp:positionH relativeFrom="column">
              <wp:posOffset>43815</wp:posOffset>
            </wp:positionH>
            <wp:positionV relativeFrom="paragraph">
              <wp:posOffset>61595</wp:posOffset>
            </wp:positionV>
            <wp:extent cx="3039110" cy="2047875"/>
            <wp:effectExtent l="0" t="0" r="8890" b="9525"/>
            <wp:wrapThrough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hrough>
            <wp:docPr id="2" name="Grafik 2" descr="C:\Users\Z003HK3A\Desktop\Bilder\Insio_Nx_Mil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03HK3A\Desktop\Bilder\Insio_Nx_Milie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5069" r="3639" b="7374"/>
                    <a:stretch/>
                  </pic:blipFill>
                  <pic:spPr bwMode="auto">
                    <a:xfrm>
                      <a:off x="0" y="0"/>
                      <a:ext cx="303911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4CEC2" w14:textId="57E404EF" w:rsidR="00302699" w:rsidRDefault="00302699" w:rsidP="00302699">
      <w:pPr>
        <w:spacing w:after="0" w:line="360" w:lineRule="auto"/>
        <w:ind w:left="5529"/>
        <w:rPr>
          <w:sz w:val="20"/>
          <w:szCs w:val="20"/>
        </w:rPr>
      </w:pPr>
    </w:p>
    <w:p w14:paraId="619E36A3" w14:textId="77777777" w:rsidR="00302699" w:rsidRDefault="00302699" w:rsidP="00302699">
      <w:pPr>
        <w:spacing w:after="0" w:line="360" w:lineRule="auto"/>
        <w:ind w:left="5529"/>
        <w:rPr>
          <w:sz w:val="20"/>
          <w:szCs w:val="20"/>
        </w:rPr>
      </w:pPr>
    </w:p>
    <w:p w14:paraId="215F081C" w14:textId="77777777" w:rsidR="00302699" w:rsidRDefault="00302699" w:rsidP="00302699">
      <w:pPr>
        <w:spacing w:after="0" w:line="360" w:lineRule="auto"/>
        <w:ind w:left="5529"/>
        <w:rPr>
          <w:sz w:val="20"/>
          <w:szCs w:val="20"/>
        </w:rPr>
      </w:pPr>
    </w:p>
    <w:p w14:paraId="6853DD06" w14:textId="6F94BCA4" w:rsidR="00302699" w:rsidRDefault="00302699" w:rsidP="00302699">
      <w:pPr>
        <w:spacing w:after="0" w:line="360" w:lineRule="auto"/>
        <w:ind w:left="5529"/>
        <w:rPr>
          <w:sz w:val="20"/>
          <w:szCs w:val="20"/>
        </w:rPr>
      </w:pPr>
      <w:r>
        <w:rPr>
          <w:sz w:val="20"/>
          <w:szCs w:val="20"/>
        </w:rPr>
        <w:t>T</w:t>
      </w:r>
      <w:r w:rsidRPr="00700585">
        <w:rPr>
          <w:sz w:val="20"/>
          <w:szCs w:val="20"/>
        </w:rPr>
        <w:t xml:space="preserve">he almost invisible </w:t>
      </w:r>
      <w:proofErr w:type="spellStart"/>
      <w:r w:rsidRPr="00700585">
        <w:rPr>
          <w:sz w:val="20"/>
          <w:szCs w:val="20"/>
        </w:rPr>
        <w:t>Insio</w:t>
      </w:r>
      <w:proofErr w:type="spellEnd"/>
      <w:r w:rsidRPr="00700585">
        <w:rPr>
          <w:sz w:val="20"/>
          <w:szCs w:val="20"/>
        </w:rPr>
        <w:t xml:space="preserve"> </w:t>
      </w:r>
      <w:proofErr w:type="spellStart"/>
      <w:r w:rsidRPr="00700585">
        <w:rPr>
          <w:sz w:val="20"/>
          <w:szCs w:val="20"/>
        </w:rPr>
        <w:t>Nx</w:t>
      </w:r>
      <w:proofErr w:type="spellEnd"/>
      <w:r w:rsidRPr="00700585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00585">
        <w:rPr>
          <w:sz w:val="20"/>
          <w:szCs w:val="20"/>
        </w:rPr>
        <w:t>in-the-canal (ITC) hearing aids are made to connect to the wearer’s smartphone, TV, and other Bluetooth-enabled devices.</w:t>
      </w:r>
    </w:p>
    <w:p w14:paraId="59E7C490" w14:textId="3023E4AC" w:rsidR="002547CB" w:rsidRPr="00302699" w:rsidRDefault="00302699" w:rsidP="00302699">
      <w:pPr>
        <w:spacing w:after="0" w:line="360" w:lineRule="auto"/>
        <w:ind w:left="5529"/>
        <w:rPr>
          <w:sz w:val="20"/>
          <w:szCs w:val="20"/>
          <w:lang w:val="de-DE"/>
        </w:rPr>
      </w:pPr>
      <w:r w:rsidRPr="00476610">
        <w:rPr>
          <w:sz w:val="20"/>
          <w:szCs w:val="20"/>
          <w:lang w:val="de-DE"/>
        </w:rPr>
        <w:t>Copyright: Sivantos</w:t>
      </w:r>
    </w:p>
    <w:sectPr w:rsidR="002547CB" w:rsidRPr="003026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985" w:bottom="156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7BAB" w14:textId="77777777" w:rsidR="00521DA0" w:rsidRDefault="00521DA0">
      <w:pPr>
        <w:spacing w:after="0" w:line="240" w:lineRule="auto"/>
      </w:pPr>
      <w:r>
        <w:separator/>
      </w:r>
    </w:p>
  </w:endnote>
  <w:endnote w:type="continuationSeparator" w:id="0">
    <w:p w14:paraId="7F0FE120" w14:textId="77777777" w:rsidR="00521DA0" w:rsidRDefault="0052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C8AF" w14:textId="77777777" w:rsidR="00161A41" w:rsidRDefault="00161A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5219" w14:textId="73ADF302" w:rsidR="00C858FD" w:rsidRDefault="00895DBD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03437">
      <w:rPr>
        <w:noProof/>
      </w:rPr>
      <w:t>4</w:t>
    </w:r>
    <w:r>
      <w:fldChar w:fldCharType="end"/>
    </w:r>
    <w:r w:rsidR="00D35219">
      <w:t>/</w:t>
    </w:r>
    <w:r w:rsidR="009C1B99">
      <w:t>2</w:t>
    </w:r>
  </w:p>
  <w:p w14:paraId="16845022" w14:textId="47140DAD" w:rsidR="00D35219" w:rsidRPr="00A22CBF" w:rsidRDefault="00004368" w:rsidP="00005E38">
    <w:pPr>
      <w:tabs>
        <w:tab w:val="center" w:pos="4536"/>
        <w:tab w:val="right" w:pos="9072"/>
      </w:tabs>
      <w:spacing w:after="120" w:line="240" w:lineRule="auto"/>
      <w:ind w:right="360"/>
      <w:rPr>
        <w:b/>
        <w:sz w:val="16"/>
        <w:szCs w:val="16"/>
      </w:rPr>
    </w:pPr>
    <w:r w:rsidRPr="00A22CBF">
      <w:rPr>
        <w:b/>
        <w:sz w:val="16"/>
        <w:szCs w:val="16"/>
      </w:rPr>
      <w:t>Sivantos Group</w:t>
    </w:r>
  </w:p>
  <w:p w14:paraId="6D02F1DB" w14:textId="77777777" w:rsidR="00004368" w:rsidRDefault="00004368" w:rsidP="00A22CBF">
    <w:pPr>
      <w:tabs>
        <w:tab w:val="center" w:pos="4536"/>
        <w:tab w:val="right" w:pos="9072"/>
      </w:tabs>
      <w:spacing w:after="120" w:line="240" w:lineRule="auto"/>
      <w:ind w:right="360"/>
      <w:rPr>
        <w:sz w:val="16"/>
        <w:szCs w:val="16"/>
      </w:rPr>
    </w:pPr>
    <w:r w:rsidRPr="00A22CBF">
      <w:rPr>
        <w:sz w:val="16"/>
        <w:szCs w:val="16"/>
      </w:rPr>
      <w:t xml:space="preserve">Corporate Public </w:t>
    </w:r>
    <w:r>
      <w:rPr>
        <w:sz w:val="16"/>
        <w:szCs w:val="16"/>
      </w:rPr>
      <w:t>R</w:t>
    </w:r>
    <w:r w:rsidRPr="00A22CBF">
      <w:rPr>
        <w:sz w:val="16"/>
        <w:szCs w:val="16"/>
      </w:rPr>
      <w:t>elations</w:t>
    </w:r>
  </w:p>
  <w:p w14:paraId="1C59425B" w14:textId="585B9DAA" w:rsidR="00004368" w:rsidRPr="00A22CBF" w:rsidRDefault="00004368" w:rsidP="00A22CBF">
    <w:pPr>
      <w:tabs>
        <w:tab w:val="center" w:pos="4536"/>
        <w:tab w:val="right" w:pos="9072"/>
      </w:tabs>
      <w:spacing w:after="120" w:line="240" w:lineRule="auto"/>
      <w:ind w:right="360"/>
      <w:rPr>
        <w:sz w:val="16"/>
        <w:szCs w:val="16"/>
      </w:rPr>
    </w:pPr>
    <w:r>
      <w:rPr>
        <w:sz w:val="16"/>
        <w:szCs w:val="16"/>
      </w:rPr>
      <w:t xml:space="preserve">Reference number: </w:t>
    </w:r>
    <w:r w:rsidR="00CE60F3">
      <w:rPr>
        <w:sz w:val="16"/>
        <w:szCs w:val="16"/>
      </w:rPr>
      <w:t>5</w:t>
    </w:r>
    <w:bookmarkStart w:id="1" w:name="_GoBack"/>
    <w:bookmarkEnd w:id="1"/>
    <w:r w:rsidR="00D35219">
      <w:rPr>
        <w:sz w:val="16"/>
        <w:szCs w:val="16"/>
      </w:rPr>
      <w:t>/201</w:t>
    </w:r>
    <w:r w:rsidR="00FB780C">
      <w:rPr>
        <w:sz w:val="16"/>
        <w:szCs w:val="16"/>
      </w:rPr>
      <w:t>8</w:t>
    </w:r>
    <w:r w:rsidR="00D35219">
      <w:rPr>
        <w:sz w:val="16"/>
        <w:szCs w:val="16"/>
      </w:rPr>
      <w:t>/</w:t>
    </w:r>
    <w:proofErr w:type="spellStart"/>
    <w:r w:rsidR="00D35219">
      <w:rPr>
        <w:sz w:val="16"/>
        <w:szCs w:val="16"/>
      </w:rPr>
      <w:t>tp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FA51" w14:textId="77777777" w:rsidR="00161A41" w:rsidRDefault="00161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E043" w14:textId="77777777" w:rsidR="00521DA0" w:rsidRDefault="00521DA0">
      <w:pPr>
        <w:spacing w:after="0" w:line="240" w:lineRule="auto"/>
      </w:pPr>
      <w:r>
        <w:separator/>
      </w:r>
    </w:p>
  </w:footnote>
  <w:footnote w:type="continuationSeparator" w:id="0">
    <w:p w14:paraId="1FDD990E" w14:textId="77777777" w:rsidR="00521DA0" w:rsidRDefault="0052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F074" w14:textId="77777777" w:rsidR="00161A41" w:rsidRDefault="00161A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E962" w14:textId="77777777" w:rsidR="00161A41" w:rsidRDefault="00161A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F3FE" w14:textId="77777777" w:rsidR="00161A41" w:rsidRDefault="00161A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5709"/>
    <w:multiLevelType w:val="multilevel"/>
    <w:tmpl w:val="570279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FD"/>
    <w:rsid w:val="00001A95"/>
    <w:rsid w:val="00002642"/>
    <w:rsid w:val="0000324F"/>
    <w:rsid w:val="00004368"/>
    <w:rsid w:val="00005E38"/>
    <w:rsid w:val="0001241E"/>
    <w:rsid w:val="00013448"/>
    <w:rsid w:val="00023039"/>
    <w:rsid w:val="00025544"/>
    <w:rsid w:val="00032D42"/>
    <w:rsid w:val="00033576"/>
    <w:rsid w:val="00036820"/>
    <w:rsid w:val="00041E12"/>
    <w:rsid w:val="00045B7A"/>
    <w:rsid w:val="00046C25"/>
    <w:rsid w:val="00051288"/>
    <w:rsid w:val="000641FF"/>
    <w:rsid w:val="00065916"/>
    <w:rsid w:val="00067B63"/>
    <w:rsid w:val="00072007"/>
    <w:rsid w:val="00074A5B"/>
    <w:rsid w:val="00083BE0"/>
    <w:rsid w:val="00094669"/>
    <w:rsid w:val="00095E97"/>
    <w:rsid w:val="00095F1B"/>
    <w:rsid w:val="00097657"/>
    <w:rsid w:val="000C50C4"/>
    <w:rsid w:val="000D4569"/>
    <w:rsid w:val="000D7B17"/>
    <w:rsid w:val="000E1B8E"/>
    <w:rsid w:val="000E3192"/>
    <w:rsid w:val="000E4268"/>
    <w:rsid w:val="000F676D"/>
    <w:rsid w:val="00105330"/>
    <w:rsid w:val="00106BA3"/>
    <w:rsid w:val="00115C00"/>
    <w:rsid w:val="00116FFF"/>
    <w:rsid w:val="00117489"/>
    <w:rsid w:val="00123BB4"/>
    <w:rsid w:val="00134290"/>
    <w:rsid w:val="00136454"/>
    <w:rsid w:val="001369E7"/>
    <w:rsid w:val="00137ED2"/>
    <w:rsid w:val="00144022"/>
    <w:rsid w:val="0014621D"/>
    <w:rsid w:val="001462C1"/>
    <w:rsid w:val="00150063"/>
    <w:rsid w:val="00161A41"/>
    <w:rsid w:val="00161FE7"/>
    <w:rsid w:val="00165E8F"/>
    <w:rsid w:val="00173AB7"/>
    <w:rsid w:val="00174D8C"/>
    <w:rsid w:val="00181C3A"/>
    <w:rsid w:val="00182124"/>
    <w:rsid w:val="00185521"/>
    <w:rsid w:val="00191D63"/>
    <w:rsid w:val="00191DEC"/>
    <w:rsid w:val="001A4095"/>
    <w:rsid w:val="001A7F5E"/>
    <w:rsid w:val="001C0ED0"/>
    <w:rsid w:val="001C780E"/>
    <w:rsid w:val="001C7C97"/>
    <w:rsid w:val="001D5050"/>
    <w:rsid w:val="001D6148"/>
    <w:rsid w:val="001D6AA7"/>
    <w:rsid w:val="001E26A6"/>
    <w:rsid w:val="001E734B"/>
    <w:rsid w:val="001F1D6E"/>
    <w:rsid w:val="001F1DE0"/>
    <w:rsid w:val="001F3CAC"/>
    <w:rsid w:val="001F4F31"/>
    <w:rsid w:val="001F69AB"/>
    <w:rsid w:val="0020065C"/>
    <w:rsid w:val="00203437"/>
    <w:rsid w:val="0021545D"/>
    <w:rsid w:val="00216EB2"/>
    <w:rsid w:val="00221292"/>
    <w:rsid w:val="0022234B"/>
    <w:rsid w:val="00223E19"/>
    <w:rsid w:val="00226EEE"/>
    <w:rsid w:val="002329AA"/>
    <w:rsid w:val="00237563"/>
    <w:rsid w:val="002442F4"/>
    <w:rsid w:val="00246A73"/>
    <w:rsid w:val="00252A3A"/>
    <w:rsid w:val="002547CB"/>
    <w:rsid w:val="00257831"/>
    <w:rsid w:val="00264D98"/>
    <w:rsid w:val="00264DB8"/>
    <w:rsid w:val="00265F16"/>
    <w:rsid w:val="002668DD"/>
    <w:rsid w:val="00271E09"/>
    <w:rsid w:val="00275894"/>
    <w:rsid w:val="00280750"/>
    <w:rsid w:val="00285378"/>
    <w:rsid w:val="00293E52"/>
    <w:rsid w:val="002A172F"/>
    <w:rsid w:val="002C5330"/>
    <w:rsid w:val="002C5CA6"/>
    <w:rsid w:val="002D037E"/>
    <w:rsid w:val="002D45E6"/>
    <w:rsid w:val="002E42AB"/>
    <w:rsid w:val="002E42E3"/>
    <w:rsid w:val="002F3252"/>
    <w:rsid w:val="002F3E5B"/>
    <w:rsid w:val="002F4DD5"/>
    <w:rsid w:val="002F6C92"/>
    <w:rsid w:val="00302699"/>
    <w:rsid w:val="00303628"/>
    <w:rsid w:val="00310AA6"/>
    <w:rsid w:val="00315DBA"/>
    <w:rsid w:val="00324571"/>
    <w:rsid w:val="00324DC4"/>
    <w:rsid w:val="00326489"/>
    <w:rsid w:val="003270B5"/>
    <w:rsid w:val="00333D67"/>
    <w:rsid w:val="003357B5"/>
    <w:rsid w:val="0033682A"/>
    <w:rsid w:val="00344780"/>
    <w:rsid w:val="00351A83"/>
    <w:rsid w:val="00355321"/>
    <w:rsid w:val="003564B1"/>
    <w:rsid w:val="0036078C"/>
    <w:rsid w:val="00363ECE"/>
    <w:rsid w:val="00377DED"/>
    <w:rsid w:val="003802B5"/>
    <w:rsid w:val="00380506"/>
    <w:rsid w:val="003856C0"/>
    <w:rsid w:val="00393A18"/>
    <w:rsid w:val="00393CCA"/>
    <w:rsid w:val="0039681D"/>
    <w:rsid w:val="003A1C13"/>
    <w:rsid w:val="003A2C08"/>
    <w:rsid w:val="003A5653"/>
    <w:rsid w:val="003A6032"/>
    <w:rsid w:val="003B278F"/>
    <w:rsid w:val="003B479B"/>
    <w:rsid w:val="003B50A4"/>
    <w:rsid w:val="003C2F34"/>
    <w:rsid w:val="003C33D3"/>
    <w:rsid w:val="003C3EAD"/>
    <w:rsid w:val="003C7BFE"/>
    <w:rsid w:val="003D5B95"/>
    <w:rsid w:val="003E32E6"/>
    <w:rsid w:val="003E557A"/>
    <w:rsid w:val="00400E41"/>
    <w:rsid w:val="00403D0A"/>
    <w:rsid w:val="004052F1"/>
    <w:rsid w:val="00413A26"/>
    <w:rsid w:val="004223E8"/>
    <w:rsid w:val="00425DD5"/>
    <w:rsid w:val="004273B8"/>
    <w:rsid w:val="00431B9E"/>
    <w:rsid w:val="0043435D"/>
    <w:rsid w:val="00437689"/>
    <w:rsid w:val="00444650"/>
    <w:rsid w:val="00444725"/>
    <w:rsid w:val="00450A92"/>
    <w:rsid w:val="004518C4"/>
    <w:rsid w:val="00451A7C"/>
    <w:rsid w:val="00455425"/>
    <w:rsid w:val="00455897"/>
    <w:rsid w:val="00455CF8"/>
    <w:rsid w:val="00456D0D"/>
    <w:rsid w:val="00461DF0"/>
    <w:rsid w:val="00465846"/>
    <w:rsid w:val="00473FD1"/>
    <w:rsid w:val="00476610"/>
    <w:rsid w:val="0048024A"/>
    <w:rsid w:val="004818E2"/>
    <w:rsid w:val="004838DF"/>
    <w:rsid w:val="00486FDC"/>
    <w:rsid w:val="00490541"/>
    <w:rsid w:val="004913E6"/>
    <w:rsid w:val="00492CE2"/>
    <w:rsid w:val="00495E15"/>
    <w:rsid w:val="004A1DB9"/>
    <w:rsid w:val="004A1E0D"/>
    <w:rsid w:val="004B6D31"/>
    <w:rsid w:val="004C39D6"/>
    <w:rsid w:val="004C6512"/>
    <w:rsid w:val="004D023F"/>
    <w:rsid w:val="004E03C9"/>
    <w:rsid w:val="004E0CA8"/>
    <w:rsid w:val="004E1451"/>
    <w:rsid w:val="004F0D22"/>
    <w:rsid w:val="004F6626"/>
    <w:rsid w:val="0051650A"/>
    <w:rsid w:val="0051721A"/>
    <w:rsid w:val="00521DA0"/>
    <w:rsid w:val="00523650"/>
    <w:rsid w:val="005337A4"/>
    <w:rsid w:val="00535394"/>
    <w:rsid w:val="00535B8A"/>
    <w:rsid w:val="0053642B"/>
    <w:rsid w:val="0055136B"/>
    <w:rsid w:val="00552639"/>
    <w:rsid w:val="00552AA6"/>
    <w:rsid w:val="0055525C"/>
    <w:rsid w:val="0057307F"/>
    <w:rsid w:val="0057353D"/>
    <w:rsid w:val="005735E4"/>
    <w:rsid w:val="00574916"/>
    <w:rsid w:val="00576401"/>
    <w:rsid w:val="00581A30"/>
    <w:rsid w:val="00586149"/>
    <w:rsid w:val="00591E54"/>
    <w:rsid w:val="00592172"/>
    <w:rsid w:val="00594C2A"/>
    <w:rsid w:val="00596544"/>
    <w:rsid w:val="005974BF"/>
    <w:rsid w:val="005A669F"/>
    <w:rsid w:val="005B4786"/>
    <w:rsid w:val="005C2C0A"/>
    <w:rsid w:val="005D06C6"/>
    <w:rsid w:val="005D1AF6"/>
    <w:rsid w:val="005E2536"/>
    <w:rsid w:val="005E6614"/>
    <w:rsid w:val="005E7545"/>
    <w:rsid w:val="005F16E3"/>
    <w:rsid w:val="005F20EC"/>
    <w:rsid w:val="006071B3"/>
    <w:rsid w:val="00614336"/>
    <w:rsid w:val="006269FA"/>
    <w:rsid w:val="0063211A"/>
    <w:rsid w:val="00633DD5"/>
    <w:rsid w:val="006342F7"/>
    <w:rsid w:val="006352A9"/>
    <w:rsid w:val="00643F59"/>
    <w:rsid w:val="00645B26"/>
    <w:rsid w:val="00650C04"/>
    <w:rsid w:val="0065338C"/>
    <w:rsid w:val="00653F18"/>
    <w:rsid w:val="0065698F"/>
    <w:rsid w:val="00656E73"/>
    <w:rsid w:val="0066059B"/>
    <w:rsid w:val="006647E6"/>
    <w:rsid w:val="00666B35"/>
    <w:rsid w:val="0067722F"/>
    <w:rsid w:val="00690017"/>
    <w:rsid w:val="00690EC6"/>
    <w:rsid w:val="00691F44"/>
    <w:rsid w:val="00692001"/>
    <w:rsid w:val="00693A72"/>
    <w:rsid w:val="00693D2A"/>
    <w:rsid w:val="006957B4"/>
    <w:rsid w:val="006A381C"/>
    <w:rsid w:val="006B09D7"/>
    <w:rsid w:val="006B1F3C"/>
    <w:rsid w:val="006B6A7B"/>
    <w:rsid w:val="006C2CF8"/>
    <w:rsid w:val="006C35E2"/>
    <w:rsid w:val="006C697C"/>
    <w:rsid w:val="006D1C30"/>
    <w:rsid w:val="006E31B9"/>
    <w:rsid w:val="006F1066"/>
    <w:rsid w:val="006F4D1B"/>
    <w:rsid w:val="00700585"/>
    <w:rsid w:val="00707283"/>
    <w:rsid w:val="007078EB"/>
    <w:rsid w:val="00710BB0"/>
    <w:rsid w:val="00715781"/>
    <w:rsid w:val="00723116"/>
    <w:rsid w:val="00726085"/>
    <w:rsid w:val="00726D70"/>
    <w:rsid w:val="00726DD6"/>
    <w:rsid w:val="0073556B"/>
    <w:rsid w:val="00736ACC"/>
    <w:rsid w:val="007514ED"/>
    <w:rsid w:val="007556B5"/>
    <w:rsid w:val="0075599E"/>
    <w:rsid w:val="00756401"/>
    <w:rsid w:val="00756435"/>
    <w:rsid w:val="007613DE"/>
    <w:rsid w:val="00766D41"/>
    <w:rsid w:val="007705F8"/>
    <w:rsid w:val="007768C5"/>
    <w:rsid w:val="00776EEA"/>
    <w:rsid w:val="007775C9"/>
    <w:rsid w:val="0077781D"/>
    <w:rsid w:val="00784966"/>
    <w:rsid w:val="00785533"/>
    <w:rsid w:val="007959B6"/>
    <w:rsid w:val="00797006"/>
    <w:rsid w:val="00797832"/>
    <w:rsid w:val="007A7EEA"/>
    <w:rsid w:val="007B6EEE"/>
    <w:rsid w:val="007C0875"/>
    <w:rsid w:val="007C111C"/>
    <w:rsid w:val="007C3A5F"/>
    <w:rsid w:val="007C49BA"/>
    <w:rsid w:val="007D21C4"/>
    <w:rsid w:val="007D2332"/>
    <w:rsid w:val="007E4CC9"/>
    <w:rsid w:val="007F71D7"/>
    <w:rsid w:val="00810240"/>
    <w:rsid w:val="00815553"/>
    <w:rsid w:val="00815AC1"/>
    <w:rsid w:val="00822F4D"/>
    <w:rsid w:val="00824A98"/>
    <w:rsid w:val="008273A8"/>
    <w:rsid w:val="0083245E"/>
    <w:rsid w:val="00833F11"/>
    <w:rsid w:val="00855EB8"/>
    <w:rsid w:val="00862F9E"/>
    <w:rsid w:val="00866AE2"/>
    <w:rsid w:val="00871AC4"/>
    <w:rsid w:val="008730C0"/>
    <w:rsid w:val="00873E30"/>
    <w:rsid w:val="008760A2"/>
    <w:rsid w:val="00885301"/>
    <w:rsid w:val="00885A3A"/>
    <w:rsid w:val="00895DBD"/>
    <w:rsid w:val="008A23E1"/>
    <w:rsid w:val="008B2A65"/>
    <w:rsid w:val="008B4412"/>
    <w:rsid w:val="008B776A"/>
    <w:rsid w:val="008C4A51"/>
    <w:rsid w:val="008C4B3F"/>
    <w:rsid w:val="008D02A7"/>
    <w:rsid w:val="008D555A"/>
    <w:rsid w:val="008D5DD2"/>
    <w:rsid w:val="008E3E40"/>
    <w:rsid w:val="008E67DB"/>
    <w:rsid w:val="008E79F3"/>
    <w:rsid w:val="008F127F"/>
    <w:rsid w:val="008F40A5"/>
    <w:rsid w:val="00900C72"/>
    <w:rsid w:val="00902B49"/>
    <w:rsid w:val="00910A4C"/>
    <w:rsid w:val="0091206C"/>
    <w:rsid w:val="009211EB"/>
    <w:rsid w:val="00921C72"/>
    <w:rsid w:val="00933D2C"/>
    <w:rsid w:val="0093476E"/>
    <w:rsid w:val="00937B83"/>
    <w:rsid w:val="00944590"/>
    <w:rsid w:val="009445C0"/>
    <w:rsid w:val="00945DAF"/>
    <w:rsid w:val="00950643"/>
    <w:rsid w:val="00954BEE"/>
    <w:rsid w:val="00954F51"/>
    <w:rsid w:val="00956F95"/>
    <w:rsid w:val="0096084A"/>
    <w:rsid w:val="00972195"/>
    <w:rsid w:val="009754C4"/>
    <w:rsid w:val="00975CEA"/>
    <w:rsid w:val="009764F3"/>
    <w:rsid w:val="00982187"/>
    <w:rsid w:val="00983E48"/>
    <w:rsid w:val="0098579D"/>
    <w:rsid w:val="009867FF"/>
    <w:rsid w:val="00992C56"/>
    <w:rsid w:val="009A04C6"/>
    <w:rsid w:val="009A7650"/>
    <w:rsid w:val="009B2D35"/>
    <w:rsid w:val="009B31C1"/>
    <w:rsid w:val="009B36C6"/>
    <w:rsid w:val="009C1B99"/>
    <w:rsid w:val="009C6092"/>
    <w:rsid w:val="009D303D"/>
    <w:rsid w:val="009D6EFA"/>
    <w:rsid w:val="009E2361"/>
    <w:rsid w:val="009F5B31"/>
    <w:rsid w:val="00A015E5"/>
    <w:rsid w:val="00A0341E"/>
    <w:rsid w:val="00A060F8"/>
    <w:rsid w:val="00A1085F"/>
    <w:rsid w:val="00A11D8C"/>
    <w:rsid w:val="00A138CC"/>
    <w:rsid w:val="00A22CBF"/>
    <w:rsid w:val="00A251F1"/>
    <w:rsid w:val="00A2554B"/>
    <w:rsid w:val="00A30B24"/>
    <w:rsid w:val="00A326E4"/>
    <w:rsid w:val="00A46E82"/>
    <w:rsid w:val="00A52370"/>
    <w:rsid w:val="00A5443C"/>
    <w:rsid w:val="00A617F5"/>
    <w:rsid w:val="00A6223F"/>
    <w:rsid w:val="00A6370F"/>
    <w:rsid w:val="00A64731"/>
    <w:rsid w:val="00A659CC"/>
    <w:rsid w:val="00A77384"/>
    <w:rsid w:val="00A85AB3"/>
    <w:rsid w:val="00A94866"/>
    <w:rsid w:val="00AA119E"/>
    <w:rsid w:val="00AA458E"/>
    <w:rsid w:val="00AA7767"/>
    <w:rsid w:val="00AB40A8"/>
    <w:rsid w:val="00AB5537"/>
    <w:rsid w:val="00AC5356"/>
    <w:rsid w:val="00AD1816"/>
    <w:rsid w:val="00AD1FDA"/>
    <w:rsid w:val="00AD26F3"/>
    <w:rsid w:val="00AE56A5"/>
    <w:rsid w:val="00AF247F"/>
    <w:rsid w:val="00B04DCD"/>
    <w:rsid w:val="00B10243"/>
    <w:rsid w:val="00B27B81"/>
    <w:rsid w:val="00B4002F"/>
    <w:rsid w:val="00B422F0"/>
    <w:rsid w:val="00B50A2B"/>
    <w:rsid w:val="00B6014B"/>
    <w:rsid w:val="00B62F98"/>
    <w:rsid w:val="00B75AB9"/>
    <w:rsid w:val="00B8020D"/>
    <w:rsid w:val="00B80539"/>
    <w:rsid w:val="00B80C13"/>
    <w:rsid w:val="00B82419"/>
    <w:rsid w:val="00B86BCE"/>
    <w:rsid w:val="00B86EA5"/>
    <w:rsid w:val="00B94097"/>
    <w:rsid w:val="00B97238"/>
    <w:rsid w:val="00BA0E0C"/>
    <w:rsid w:val="00BA468F"/>
    <w:rsid w:val="00BB1BBE"/>
    <w:rsid w:val="00BB1E5B"/>
    <w:rsid w:val="00BB6E22"/>
    <w:rsid w:val="00BC0D84"/>
    <w:rsid w:val="00BD34AC"/>
    <w:rsid w:val="00BE00C1"/>
    <w:rsid w:val="00BE2CE3"/>
    <w:rsid w:val="00C03D5E"/>
    <w:rsid w:val="00C07309"/>
    <w:rsid w:val="00C07919"/>
    <w:rsid w:val="00C13CE1"/>
    <w:rsid w:val="00C20183"/>
    <w:rsid w:val="00C3019F"/>
    <w:rsid w:val="00C45370"/>
    <w:rsid w:val="00C55BDF"/>
    <w:rsid w:val="00C5642C"/>
    <w:rsid w:val="00C643FD"/>
    <w:rsid w:val="00C64BF7"/>
    <w:rsid w:val="00C657A4"/>
    <w:rsid w:val="00C670D7"/>
    <w:rsid w:val="00C732F8"/>
    <w:rsid w:val="00C73538"/>
    <w:rsid w:val="00C75DFA"/>
    <w:rsid w:val="00C858FD"/>
    <w:rsid w:val="00C8608F"/>
    <w:rsid w:val="00C92EFE"/>
    <w:rsid w:val="00C9319E"/>
    <w:rsid w:val="00C9709C"/>
    <w:rsid w:val="00CA0A7F"/>
    <w:rsid w:val="00CA478D"/>
    <w:rsid w:val="00CA66FC"/>
    <w:rsid w:val="00CB636C"/>
    <w:rsid w:val="00CC71B0"/>
    <w:rsid w:val="00CE1514"/>
    <w:rsid w:val="00CE2802"/>
    <w:rsid w:val="00CE60F3"/>
    <w:rsid w:val="00CE697C"/>
    <w:rsid w:val="00CE6B87"/>
    <w:rsid w:val="00CF18A8"/>
    <w:rsid w:val="00CF3888"/>
    <w:rsid w:val="00CF41D1"/>
    <w:rsid w:val="00CF6DEF"/>
    <w:rsid w:val="00D02168"/>
    <w:rsid w:val="00D05F16"/>
    <w:rsid w:val="00D07798"/>
    <w:rsid w:val="00D1325D"/>
    <w:rsid w:val="00D21613"/>
    <w:rsid w:val="00D22419"/>
    <w:rsid w:val="00D230D7"/>
    <w:rsid w:val="00D231A9"/>
    <w:rsid w:val="00D26100"/>
    <w:rsid w:val="00D34878"/>
    <w:rsid w:val="00D35219"/>
    <w:rsid w:val="00D37811"/>
    <w:rsid w:val="00D37C06"/>
    <w:rsid w:val="00D4341A"/>
    <w:rsid w:val="00D43898"/>
    <w:rsid w:val="00D44261"/>
    <w:rsid w:val="00D65A36"/>
    <w:rsid w:val="00D75769"/>
    <w:rsid w:val="00D809E5"/>
    <w:rsid w:val="00D81762"/>
    <w:rsid w:val="00D81862"/>
    <w:rsid w:val="00D851BE"/>
    <w:rsid w:val="00D90DA1"/>
    <w:rsid w:val="00DA1D18"/>
    <w:rsid w:val="00DA705C"/>
    <w:rsid w:val="00DA79F5"/>
    <w:rsid w:val="00DB1764"/>
    <w:rsid w:val="00DC3267"/>
    <w:rsid w:val="00DC5E94"/>
    <w:rsid w:val="00DD741F"/>
    <w:rsid w:val="00DE5D00"/>
    <w:rsid w:val="00DF0359"/>
    <w:rsid w:val="00DF2B94"/>
    <w:rsid w:val="00DF4D5E"/>
    <w:rsid w:val="00E12134"/>
    <w:rsid w:val="00E1327D"/>
    <w:rsid w:val="00E165E1"/>
    <w:rsid w:val="00E21B76"/>
    <w:rsid w:val="00E21C8F"/>
    <w:rsid w:val="00E25510"/>
    <w:rsid w:val="00E338A4"/>
    <w:rsid w:val="00E3618C"/>
    <w:rsid w:val="00E43C6F"/>
    <w:rsid w:val="00E43E49"/>
    <w:rsid w:val="00E46CC9"/>
    <w:rsid w:val="00E51E5A"/>
    <w:rsid w:val="00E52CA2"/>
    <w:rsid w:val="00E557C2"/>
    <w:rsid w:val="00E60F0B"/>
    <w:rsid w:val="00E62276"/>
    <w:rsid w:val="00E6642B"/>
    <w:rsid w:val="00E66D4B"/>
    <w:rsid w:val="00E670F0"/>
    <w:rsid w:val="00E671B2"/>
    <w:rsid w:val="00E72E6D"/>
    <w:rsid w:val="00E73326"/>
    <w:rsid w:val="00E741E9"/>
    <w:rsid w:val="00E74B1D"/>
    <w:rsid w:val="00E82ACF"/>
    <w:rsid w:val="00E86FFE"/>
    <w:rsid w:val="00EA6C56"/>
    <w:rsid w:val="00EB0DCD"/>
    <w:rsid w:val="00EB3A51"/>
    <w:rsid w:val="00EB7DF5"/>
    <w:rsid w:val="00EC3C8F"/>
    <w:rsid w:val="00EC7E53"/>
    <w:rsid w:val="00ED09A0"/>
    <w:rsid w:val="00ED2478"/>
    <w:rsid w:val="00ED3C0C"/>
    <w:rsid w:val="00ED7379"/>
    <w:rsid w:val="00EE0467"/>
    <w:rsid w:val="00EE131C"/>
    <w:rsid w:val="00EF015B"/>
    <w:rsid w:val="00EF7436"/>
    <w:rsid w:val="00F0018E"/>
    <w:rsid w:val="00F0506D"/>
    <w:rsid w:val="00F06A9A"/>
    <w:rsid w:val="00F14A17"/>
    <w:rsid w:val="00F271AB"/>
    <w:rsid w:val="00F4136D"/>
    <w:rsid w:val="00F44635"/>
    <w:rsid w:val="00F5133C"/>
    <w:rsid w:val="00F627CB"/>
    <w:rsid w:val="00F67F72"/>
    <w:rsid w:val="00F730E8"/>
    <w:rsid w:val="00F7461F"/>
    <w:rsid w:val="00F96DCD"/>
    <w:rsid w:val="00FA0AE6"/>
    <w:rsid w:val="00FA2C31"/>
    <w:rsid w:val="00FB780C"/>
    <w:rsid w:val="00FC1293"/>
    <w:rsid w:val="00FC50AA"/>
    <w:rsid w:val="00FD1CB7"/>
    <w:rsid w:val="00FD54C3"/>
    <w:rsid w:val="00FD56CA"/>
    <w:rsid w:val="00FD6B05"/>
    <w:rsid w:val="00FE37CB"/>
    <w:rsid w:val="00FF0056"/>
    <w:rsid w:val="00FF4621"/>
    <w:rsid w:val="00FF5D81"/>
    <w:rsid w:val="00FF73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969474"/>
  <w15:docId w15:val="{1FA5376D-9255-459B-9851-A290303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40" w:after="0"/>
      <w:contextualSpacing/>
      <w:outlineLvl w:val="1"/>
    </w:pPr>
    <w:rPr>
      <w:rFonts w:ascii="Cambria" w:eastAsia="Cambria" w:hAnsi="Cambria" w:cs="Cambria"/>
      <w:b/>
      <w:color w:val="366091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160"/>
      <w:contextualSpacing/>
    </w:pPr>
    <w:rPr>
      <w:rFonts w:ascii="Calibri" w:eastAsia="Calibri" w:hAnsi="Calibri" w:cs="Calibri"/>
      <w:i/>
      <w:color w:val="5A5A5A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BD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5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5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5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5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5BD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F5D8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368"/>
  </w:style>
  <w:style w:type="paragraph" w:styleId="Fuzeile">
    <w:name w:val="footer"/>
    <w:basedOn w:val="Standard"/>
    <w:link w:val="FuzeileZchn"/>
    <w:uiPriority w:val="99"/>
    <w:unhideWhenUsed/>
    <w:rsid w:val="0000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368"/>
  </w:style>
  <w:style w:type="paragraph" w:styleId="Funotentext">
    <w:name w:val="footnote text"/>
    <w:basedOn w:val="Standard"/>
    <w:link w:val="FunotentextZchn"/>
    <w:uiPriority w:val="99"/>
    <w:semiHidden/>
    <w:unhideWhenUsed/>
    <w:rsid w:val="00E255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55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5510"/>
    <w:rPr>
      <w:vertAlign w:val="superscript"/>
    </w:rPr>
  </w:style>
  <w:style w:type="paragraph" w:customStyle="1" w:styleId="Default">
    <w:name w:val="Default"/>
    <w:basedOn w:val="Standard"/>
    <w:rsid w:val="00E622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eastAsiaTheme="minorHAnsi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636C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8B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ivantos.com/category/pres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weigmann@sivanto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ivantos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ignia-pro.com/insionx-bluetooth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1E12-0EC3-406C-835F-3603E396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 Jeremy</dc:creator>
  <cp:lastModifiedBy>Weigmann, Erika</cp:lastModifiedBy>
  <cp:revision>3</cp:revision>
  <cp:lastPrinted>2018-10-12T16:03:00Z</cp:lastPrinted>
  <dcterms:created xsi:type="dcterms:W3CDTF">2018-10-12T16:08:00Z</dcterms:created>
  <dcterms:modified xsi:type="dcterms:W3CDTF">2018-10-12T16:31:00Z</dcterms:modified>
</cp:coreProperties>
</file>