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A559" w14:textId="77777777" w:rsidR="00C858FD" w:rsidRDefault="00C858FD">
      <w:pPr>
        <w:widowControl w:val="0"/>
        <w:spacing w:after="0"/>
      </w:pPr>
    </w:p>
    <w:tbl>
      <w:tblPr>
        <w:tblStyle w:val="a"/>
        <w:tblW w:w="9640" w:type="dxa"/>
        <w:tblBorders>
          <w:bottom w:val="single" w:sz="4" w:space="0" w:color="000000"/>
        </w:tblBorders>
        <w:tblLayout w:type="fixed"/>
        <w:tblLook w:val="0000" w:firstRow="0" w:lastRow="0" w:firstColumn="0" w:lastColumn="0" w:noHBand="0" w:noVBand="0"/>
      </w:tblPr>
      <w:tblGrid>
        <w:gridCol w:w="6521"/>
        <w:gridCol w:w="3119"/>
      </w:tblGrid>
      <w:tr w:rsidR="00C858FD" w14:paraId="37431332" w14:textId="77777777">
        <w:trPr>
          <w:trHeight w:val="1060"/>
        </w:trPr>
        <w:tc>
          <w:tcPr>
            <w:tcW w:w="6521" w:type="dxa"/>
          </w:tcPr>
          <w:p w14:paraId="615633D4" w14:textId="77777777" w:rsidR="00C858FD" w:rsidRPr="00921C72" w:rsidRDefault="00895DBD">
            <w:pPr>
              <w:spacing w:after="0" w:line="240" w:lineRule="auto"/>
            </w:pPr>
            <w:r w:rsidRPr="00921C72">
              <w:rPr>
                <w:noProof/>
                <w:lang w:val="de-DE" w:eastAsia="de-DE"/>
              </w:rPr>
              <w:drawing>
                <wp:inline distT="0" distB="0" distL="0" distR="0" wp14:anchorId="3E739BBD" wp14:editId="742A7B7F">
                  <wp:extent cx="1534781" cy="428976"/>
                  <wp:effectExtent l="0" t="0" r="0" b="0"/>
                  <wp:docPr id="1" name="image2.jpg" descr="C:\Users\Soldra8i\Desktop\SIVANTOS_Logos_2015_01_08\SIVANTOS_Logos_2015_01_08\SIVANTOS_with_Tagline\JPG\SIVANTOS_Logo_Tagline_GS_1C.jpg"/>
                  <wp:cNvGraphicFramePr/>
                  <a:graphic xmlns:a="http://schemas.openxmlformats.org/drawingml/2006/main">
                    <a:graphicData uri="http://schemas.openxmlformats.org/drawingml/2006/picture">
                      <pic:pic xmlns:pic="http://schemas.openxmlformats.org/drawingml/2006/picture">
                        <pic:nvPicPr>
                          <pic:cNvPr id="0" name="image2.jpg" descr="C:\Users\Soldra8i\Desktop\SIVANTOS_Logos_2015_01_08\SIVANTOS_Logos_2015_01_08\SIVANTOS_with_Tagline\JPG\SIVANTOS_Logo_Tagline_GS_1C.jpg"/>
                          <pic:cNvPicPr preferRelativeResize="0"/>
                        </pic:nvPicPr>
                        <pic:blipFill>
                          <a:blip r:embed="rId8"/>
                          <a:srcRect/>
                          <a:stretch>
                            <a:fillRect/>
                          </a:stretch>
                        </pic:blipFill>
                        <pic:spPr>
                          <a:xfrm>
                            <a:off x="0" y="0"/>
                            <a:ext cx="1534781" cy="428976"/>
                          </a:xfrm>
                          <a:prstGeom prst="rect">
                            <a:avLst/>
                          </a:prstGeom>
                          <a:ln/>
                        </pic:spPr>
                      </pic:pic>
                    </a:graphicData>
                  </a:graphic>
                </wp:inline>
              </w:drawing>
            </w:r>
          </w:p>
        </w:tc>
        <w:tc>
          <w:tcPr>
            <w:tcW w:w="3119" w:type="dxa"/>
            <w:tcBorders>
              <w:bottom w:val="nil"/>
            </w:tcBorders>
            <w:vAlign w:val="bottom"/>
          </w:tcPr>
          <w:p w14:paraId="430F2674" w14:textId="77777777" w:rsidR="00C858FD" w:rsidRPr="00921C72" w:rsidRDefault="00895DBD">
            <w:pPr>
              <w:spacing w:after="40" w:line="240" w:lineRule="auto"/>
              <w:ind w:left="-57"/>
              <w:rPr>
                <w:sz w:val="62"/>
                <w:szCs w:val="62"/>
              </w:rPr>
            </w:pPr>
            <w:r w:rsidRPr="00921C72">
              <w:rPr>
                <w:sz w:val="62"/>
                <w:szCs w:val="62"/>
              </w:rPr>
              <w:t>Press</w:t>
            </w:r>
          </w:p>
        </w:tc>
      </w:tr>
      <w:tr w:rsidR="00C858FD" w14:paraId="5DD40E71" w14:textId="77777777">
        <w:trPr>
          <w:trHeight w:val="900"/>
        </w:trPr>
        <w:tc>
          <w:tcPr>
            <w:tcW w:w="6521" w:type="dxa"/>
            <w:tcBorders>
              <w:top w:val="single" w:sz="4" w:space="0" w:color="000000"/>
              <w:bottom w:val="nil"/>
            </w:tcBorders>
          </w:tcPr>
          <w:p w14:paraId="234443F3" w14:textId="77777777" w:rsidR="00C858FD" w:rsidRDefault="00C858FD">
            <w:pPr>
              <w:spacing w:before="110" w:after="0" w:line="240" w:lineRule="auto"/>
              <w:rPr>
                <w:sz w:val="20"/>
                <w:szCs w:val="20"/>
              </w:rPr>
            </w:pPr>
          </w:p>
        </w:tc>
        <w:tc>
          <w:tcPr>
            <w:tcW w:w="3119" w:type="dxa"/>
            <w:tcBorders>
              <w:top w:val="single" w:sz="4" w:space="0" w:color="000000"/>
              <w:bottom w:val="nil"/>
            </w:tcBorders>
          </w:tcPr>
          <w:p w14:paraId="0CEF9281" w14:textId="0A82B54D" w:rsidR="00C858FD" w:rsidRPr="00921C72" w:rsidRDefault="00847F48" w:rsidP="00FF5D81">
            <w:pPr>
              <w:spacing w:before="110" w:after="0" w:line="240" w:lineRule="auto"/>
              <w:rPr>
                <w:sz w:val="20"/>
                <w:szCs w:val="20"/>
              </w:rPr>
            </w:pPr>
            <w:r w:rsidRPr="00130F3C">
              <w:rPr>
                <w:sz w:val="20"/>
                <w:szCs w:val="20"/>
              </w:rPr>
              <w:t>Sing</w:t>
            </w:r>
            <w:r w:rsidR="009404E3" w:rsidRPr="00130F3C">
              <w:rPr>
                <w:sz w:val="20"/>
                <w:szCs w:val="20"/>
              </w:rPr>
              <w:t>a</w:t>
            </w:r>
            <w:r w:rsidRPr="00130F3C">
              <w:rPr>
                <w:sz w:val="20"/>
                <w:szCs w:val="20"/>
              </w:rPr>
              <w:t>pore</w:t>
            </w:r>
            <w:r w:rsidR="00FF5D81" w:rsidRPr="00130F3C">
              <w:rPr>
                <w:sz w:val="20"/>
                <w:szCs w:val="20"/>
              </w:rPr>
              <w:t>,</w:t>
            </w:r>
            <w:r w:rsidR="00FF5D81">
              <w:rPr>
                <w:sz w:val="20"/>
                <w:szCs w:val="20"/>
              </w:rPr>
              <w:t xml:space="preserve"> </w:t>
            </w:r>
            <w:r w:rsidR="00FB49D1">
              <w:rPr>
                <w:sz w:val="20"/>
                <w:szCs w:val="20"/>
              </w:rPr>
              <w:t>October 17,</w:t>
            </w:r>
            <w:r w:rsidR="00E959E6">
              <w:rPr>
                <w:sz w:val="20"/>
                <w:szCs w:val="20"/>
              </w:rPr>
              <w:t xml:space="preserve"> </w:t>
            </w:r>
            <w:r w:rsidR="00EA6C56">
              <w:rPr>
                <w:sz w:val="20"/>
                <w:szCs w:val="20"/>
              </w:rPr>
              <w:t>2018</w:t>
            </w:r>
          </w:p>
        </w:tc>
      </w:tr>
    </w:tbl>
    <w:p w14:paraId="2B3AEC01" w14:textId="2C0453C8" w:rsidR="00C858FD" w:rsidRPr="00AE56A5" w:rsidRDefault="00431B9E">
      <w:pPr>
        <w:spacing w:after="0" w:line="240" w:lineRule="auto"/>
        <w:rPr>
          <w:sz w:val="40"/>
          <w:szCs w:val="40"/>
        </w:rPr>
      </w:pPr>
      <w:bookmarkStart w:id="0" w:name="_gjdgxs" w:colFirst="0" w:colLast="0"/>
      <w:bookmarkEnd w:id="0"/>
      <w:r>
        <w:rPr>
          <w:sz w:val="40"/>
          <w:szCs w:val="40"/>
        </w:rPr>
        <w:t>Si</w:t>
      </w:r>
      <w:r w:rsidR="00765658">
        <w:rPr>
          <w:sz w:val="40"/>
          <w:szCs w:val="40"/>
        </w:rPr>
        <w:t>vantos</w:t>
      </w:r>
      <w:r>
        <w:rPr>
          <w:sz w:val="40"/>
          <w:szCs w:val="40"/>
        </w:rPr>
        <w:t xml:space="preserve"> </w:t>
      </w:r>
      <w:r w:rsidR="00DF791D">
        <w:rPr>
          <w:sz w:val="40"/>
          <w:szCs w:val="40"/>
        </w:rPr>
        <w:t>introduces wireless charging to its</w:t>
      </w:r>
      <w:r w:rsidR="00765658">
        <w:rPr>
          <w:sz w:val="40"/>
          <w:szCs w:val="40"/>
        </w:rPr>
        <w:t xml:space="preserve"> Signia</w:t>
      </w:r>
      <w:r w:rsidR="00DF791D">
        <w:rPr>
          <w:sz w:val="40"/>
          <w:szCs w:val="40"/>
        </w:rPr>
        <w:t xml:space="preserve"> Motion </w:t>
      </w:r>
      <w:r w:rsidR="00282BFD">
        <w:rPr>
          <w:sz w:val="40"/>
          <w:szCs w:val="40"/>
        </w:rPr>
        <w:t>hearing aid</w:t>
      </w:r>
      <w:r w:rsidR="00067694">
        <w:rPr>
          <w:sz w:val="40"/>
          <w:szCs w:val="40"/>
        </w:rPr>
        <w:t>s</w:t>
      </w:r>
    </w:p>
    <w:p w14:paraId="0E7CABDF" w14:textId="77777777" w:rsidR="00C858FD" w:rsidRPr="00AE56A5" w:rsidRDefault="00C858FD">
      <w:pPr>
        <w:spacing w:after="0" w:line="360" w:lineRule="auto"/>
      </w:pPr>
    </w:p>
    <w:p w14:paraId="594F678A" w14:textId="469E607F" w:rsidR="00C858FD" w:rsidRPr="00BE3A49" w:rsidRDefault="00BE3A49" w:rsidP="001B4F94">
      <w:pPr>
        <w:pStyle w:val="Listenabsatz"/>
        <w:numPr>
          <w:ilvl w:val="0"/>
          <w:numId w:val="2"/>
        </w:numPr>
        <w:spacing w:after="0" w:line="360" w:lineRule="auto"/>
        <w:ind w:left="340"/>
      </w:pPr>
      <w:r>
        <w:rPr>
          <w:b/>
        </w:rPr>
        <w:t xml:space="preserve">New Signia </w:t>
      </w:r>
      <w:proofErr w:type="spellStart"/>
      <w:r>
        <w:rPr>
          <w:b/>
        </w:rPr>
        <w:t>Motion</w:t>
      </w:r>
      <w:r w:rsidRPr="000B5F1A">
        <w:rPr>
          <w:b/>
          <w:vertAlign w:val="superscript"/>
        </w:rPr>
        <w:t>TM</w:t>
      </w:r>
      <w:proofErr w:type="spellEnd"/>
      <w:r w:rsidRPr="000B5F1A">
        <w:rPr>
          <w:b/>
          <w:vertAlign w:val="superscript"/>
        </w:rPr>
        <w:t xml:space="preserve"> </w:t>
      </w:r>
      <w:proofErr w:type="spellStart"/>
      <w:r>
        <w:rPr>
          <w:b/>
        </w:rPr>
        <w:t>Charge&amp;Go</w:t>
      </w:r>
      <w:proofErr w:type="spellEnd"/>
      <w:r>
        <w:rPr>
          <w:b/>
        </w:rPr>
        <w:t xml:space="preserve"> </w:t>
      </w:r>
      <w:proofErr w:type="spellStart"/>
      <w:r>
        <w:rPr>
          <w:b/>
        </w:rPr>
        <w:t>Nx</w:t>
      </w:r>
      <w:proofErr w:type="spellEnd"/>
      <w:r>
        <w:rPr>
          <w:b/>
        </w:rPr>
        <w:t xml:space="preserve"> combines inductive rechargeability, Own Voice </w:t>
      </w:r>
      <w:r w:rsidRPr="002032BC">
        <w:rPr>
          <w:b/>
        </w:rPr>
        <w:t>Processing (OVP™),</w:t>
      </w:r>
      <w:r>
        <w:rPr>
          <w:b/>
        </w:rPr>
        <w:t xml:space="preserve"> Bluetooth connectivity and </w:t>
      </w:r>
      <w:proofErr w:type="spellStart"/>
      <w:r>
        <w:rPr>
          <w:b/>
        </w:rPr>
        <w:t>TeleCare</w:t>
      </w:r>
      <w:proofErr w:type="spellEnd"/>
      <w:r>
        <w:rPr>
          <w:b/>
        </w:rPr>
        <w:t xml:space="preserve"> in one device</w:t>
      </w:r>
    </w:p>
    <w:p w14:paraId="557ABEC4" w14:textId="180328C5" w:rsidR="00BE3A49" w:rsidRPr="00B1269D" w:rsidRDefault="00BE3A49" w:rsidP="00BE3A49">
      <w:pPr>
        <w:pStyle w:val="Listenabsatz"/>
        <w:numPr>
          <w:ilvl w:val="0"/>
          <w:numId w:val="2"/>
        </w:numPr>
        <w:spacing w:after="0" w:line="360" w:lineRule="auto"/>
        <w:ind w:left="340"/>
      </w:pPr>
      <w:r>
        <w:rPr>
          <w:b/>
        </w:rPr>
        <w:t xml:space="preserve">High-capacity Li-ion power cell provides </w:t>
      </w:r>
      <w:r w:rsidRPr="00B1269D">
        <w:rPr>
          <w:b/>
        </w:rPr>
        <w:t>long-lasting high</w:t>
      </w:r>
      <w:r>
        <w:rPr>
          <w:b/>
        </w:rPr>
        <w:t>-</w:t>
      </w:r>
      <w:r w:rsidRPr="00B1269D">
        <w:rPr>
          <w:b/>
        </w:rPr>
        <w:t>quality stereo streaming</w:t>
      </w:r>
      <w:r>
        <w:rPr>
          <w:b/>
        </w:rPr>
        <w:t xml:space="preserve"> plus contactless charging for </w:t>
      </w:r>
      <w:r w:rsidRPr="00B1269D">
        <w:rPr>
          <w:b/>
        </w:rPr>
        <w:t>intuitive handling</w:t>
      </w:r>
    </w:p>
    <w:p w14:paraId="69B62E51" w14:textId="77777777" w:rsidR="00B1269D" w:rsidRPr="00AE56A5" w:rsidRDefault="00B1269D" w:rsidP="001B4F94">
      <w:pPr>
        <w:spacing w:after="0" w:line="360" w:lineRule="auto"/>
        <w:ind w:left="340"/>
      </w:pPr>
    </w:p>
    <w:p w14:paraId="4BEE1AC2" w14:textId="43B29CCE" w:rsidR="006F7A66" w:rsidRDefault="009E2361" w:rsidP="006F7A66">
      <w:pPr>
        <w:spacing w:after="0" w:line="360" w:lineRule="auto"/>
      </w:pPr>
      <w:r w:rsidRPr="00AE56A5">
        <w:t>Audiology</w:t>
      </w:r>
      <w:r w:rsidR="00174D8C" w:rsidRPr="00AE56A5">
        <w:t xml:space="preserve"> </w:t>
      </w:r>
      <w:r w:rsidR="00895DBD" w:rsidRPr="00AE56A5">
        <w:t>technology leader</w:t>
      </w:r>
      <w:r w:rsidR="001E26A6" w:rsidRPr="00AE56A5">
        <w:t xml:space="preserve"> Si</w:t>
      </w:r>
      <w:r w:rsidR="00451A7C" w:rsidRPr="00AE56A5">
        <w:t>vantos</w:t>
      </w:r>
      <w:r w:rsidR="00895DBD" w:rsidRPr="00AE56A5">
        <w:t xml:space="preserve"> today </w:t>
      </w:r>
      <w:r w:rsidR="005E6614" w:rsidRPr="00AE56A5">
        <w:t>unveiled</w:t>
      </w:r>
      <w:r w:rsidR="00DE5D00">
        <w:t xml:space="preserve"> its latest </w:t>
      </w:r>
      <w:r w:rsidR="00DF791D">
        <w:t>Li-</w:t>
      </w:r>
      <w:r w:rsidR="00765658">
        <w:t>i</w:t>
      </w:r>
      <w:r w:rsidR="00DF791D">
        <w:t xml:space="preserve">on rechargeable </w:t>
      </w:r>
      <w:r w:rsidR="00DE5D00">
        <w:t xml:space="preserve">hearing aids on </w:t>
      </w:r>
      <w:r w:rsidR="00DF791D">
        <w:t xml:space="preserve">the </w:t>
      </w:r>
      <w:r w:rsidR="00DE5D00">
        <w:t xml:space="preserve">Signia </w:t>
      </w:r>
      <w:proofErr w:type="spellStart"/>
      <w:r w:rsidR="00DE5D00">
        <w:t>Nx</w:t>
      </w:r>
      <w:r w:rsidR="000B5F1A" w:rsidRPr="000B5F1A">
        <w:rPr>
          <w:vertAlign w:val="superscript"/>
        </w:rPr>
        <w:t>TM</w:t>
      </w:r>
      <w:proofErr w:type="spellEnd"/>
      <w:r w:rsidR="00DF791D">
        <w:rPr>
          <w:vertAlign w:val="superscript"/>
        </w:rPr>
        <w:t xml:space="preserve"> </w:t>
      </w:r>
      <w:r w:rsidR="00DF791D">
        <w:t>hearing aid platform</w:t>
      </w:r>
      <w:r w:rsidR="00DE5D00">
        <w:t>.</w:t>
      </w:r>
      <w:r w:rsidR="00680A0B">
        <w:t xml:space="preserve"> </w:t>
      </w:r>
      <w:r w:rsidR="006F7A66">
        <w:t xml:space="preserve">Motion </w:t>
      </w:r>
      <w:proofErr w:type="spellStart"/>
      <w:r w:rsidR="006F7A66">
        <w:t>Charge&amp;Go</w:t>
      </w:r>
      <w:proofErr w:type="spellEnd"/>
      <w:r w:rsidR="006F7A66">
        <w:t xml:space="preserve"> </w:t>
      </w:r>
      <w:proofErr w:type="spellStart"/>
      <w:r w:rsidR="006F7A66">
        <w:t>Nx</w:t>
      </w:r>
      <w:proofErr w:type="spellEnd"/>
      <w:r w:rsidR="006F7A66">
        <w:t xml:space="preserve"> offers </w:t>
      </w:r>
      <w:r w:rsidR="00B84BA5">
        <w:t>wireless rechargeability and</w:t>
      </w:r>
      <w:r w:rsidR="006F7A66">
        <w:t xml:space="preserve"> </w:t>
      </w:r>
      <w:r w:rsidR="00B84BA5">
        <w:t>Bluetooth connectivity</w:t>
      </w:r>
      <w:r w:rsidR="006F7A66">
        <w:t xml:space="preserve"> to </w:t>
      </w:r>
      <w:r w:rsidR="00765658">
        <w:t>wearers of behind-the-ear</w:t>
      </w:r>
      <w:r w:rsidR="00C712B1">
        <w:t xml:space="preserve"> </w:t>
      </w:r>
      <w:r w:rsidR="006F7A66">
        <w:t>hearing aid</w:t>
      </w:r>
      <w:r w:rsidR="00765658">
        <w:t>s</w:t>
      </w:r>
      <w:r w:rsidR="00B84BA5">
        <w:t xml:space="preserve"> with </w:t>
      </w:r>
      <w:r w:rsidR="00765658">
        <w:t>mild to severe hearing loss and the most varied</w:t>
      </w:r>
      <w:r w:rsidR="00B84BA5">
        <w:t xml:space="preserve"> fitting requirements</w:t>
      </w:r>
      <w:r w:rsidR="006F7A66">
        <w:t>.</w:t>
      </w:r>
    </w:p>
    <w:p w14:paraId="69DAE199" w14:textId="77777777" w:rsidR="006F7A66" w:rsidRDefault="006F7A66" w:rsidP="006F7A66">
      <w:pPr>
        <w:spacing w:after="0" w:line="360" w:lineRule="auto"/>
      </w:pPr>
    </w:p>
    <w:p w14:paraId="1C7F184C" w14:textId="44E8BC95" w:rsidR="00B84BA5" w:rsidRDefault="006F7A66" w:rsidP="00B84BA5">
      <w:pPr>
        <w:spacing w:after="0" w:line="360" w:lineRule="auto"/>
      </w:pPr>
      <w:r>
        <w:t xml:space="preserve">Motion </w:t>
      </w:r>
      <w:proofErr w:type="spellStart"/>
      <w:r>
        <w:t>Charge&amp;Go</w:t>
      </w:r>
      <w:proofErr w:type="spellEnd"/>
      <w:r>
        <w:t xml:space="preserve"> </w:t>
      </w:r>
      <w:proofErr w:type="spellStart"/>
      <w:r>
        <w:t>Nx</w:t>
      </w:r>
      <w:proofErr w:type="spellEnd"/>
      <w:r>
        <w:t xml:space="preserve"> </w:t>
      </w:r>
      <w:r w:rsidR="00765658">
        <w:t xml:space="preserve">hearing aids </w:t>
      </w:r>
      <w:r>
        <w:t xml:space="preserve">provide easy and intuitive handling </w:t>
      </w:r>
      <w:r w:rsidR="00765658">
        <w:t>thanks to</w:t>
      </w:r>
      <w:r>
        <w:t xml:space="preserve"> wireless charging. Wearers no longer need to worry that they might struggle to change disposable batteries. They simply charge </w:t>
      </w:r>
      <w:r w:rsidR="00765658">
        <w:t>them</w:t>
      </w:r>
      <w:r>
        <w:t xml:space="preserve"> up with power while they sleep by placing the</w:t>
      </w:r>
      <w:r w:rsidR="00765658">
        <w:t>m</w:t>
      </w:r>
      <w:r>
        <w:t xml:space="preserve"> into the wells of the small </w:t>
      </w:r>
      <w:r w:rsidR="008B1200">
        <w:t>charger,</w:t>
      </w:r>
      <w:r>
        <w:t xml:space="preserve"> so the hearing aids are ready to go whenever the wearer is ready.</w:t>
      </w:r>
    </w:p>
    <w:p w14:paraId="7A4FF688" w14:textId="68B1C8E6" w:rsidR="00104FEF" w:rsidRDefault="00104FEF" w:rsidP="00B84BA5">
      <w:pPr>
        <w:spacing w:after="0" w:line="360" w:lineRule="auto"/>
      </w:pPr>
    </w:p>
    <w:p w14:paraId="52D3DAA0" w14:textId="4D986110" w:rsidR="00B84BA5" w:rsidRDefault="00104FEF" w:rsidP="00B84BA5">
      <w:pPr>
        <w:spacing w:after="0" w:line="360" w:lineRule="auto"/>
      </w:pPr>
      <w:r w:rsidRPr="00104FEF">
        <w:rPr>
          <w:b/>
        </w:rPr>
        <w:t>Combining excellent sound with ease of use</w:t>
      </w:r>
    </w:p>
    <w:p w14:paraId="0683B965" w14:textId="14E7786F" w:rsidR="00DF791D" w:rsidRDefault="006F7A66" w:rsidP="00D43898">
      <w:pPr>
        <w:spacing w:after="0" w:line="360" w:lineRule="auto"/>
      </w:pPr>
      <w:r>
        <w:t xml:space="preserve">The proven </w:t>
      </w:r>
      <w:r w:rsidR="001956E1">
        <w:t xml:space="preserve">Signia </w:t>
      </w:r>
      <w:proofErr w:type="spellStart"/>
      <w:r w:rsidR="001956E1">
        <w:t>Nx</w:t>
      </w:r>
      <w:proofErr w:type="spellEnd"/>
      <w:r w:rsidR="001956E1">
        <w:t xml:space="preserve"> </w:t>
      </w:r>
      <w:r>
        <w:t>platform</w:t>
      </w:r>
      <w:r w:rsidR="00DF791D">
        <w:t xml:space="preserve"> improves spontaneous acceptance by </w:t>
      </w:r>
      <w:r w:rsidR="00DF791D" w:rsidRPr="00DE5D00">
        <w:t>80 percent</w:t>
      </w:r>
      <w:r w:rsidR="00DF791D" w:rsidRPr="000F12BD">
        <w:rPr>
          <w:vertAlign w:val="superscript"/>
        </w:rPr>
        <w:t>1</w:t>
      </w:r>
      <w:r w:rsidR="00DF791D" w:rsidRPr="00DE5D00">
        <w:t xml:space="preserve"> by replicating </w:t>
      </w:r>
      <w:r w:rsidR="00DF791D">
        <w:t xml:space="preserve">the natural sound of the wearer’s own voice via Own Voice Processing (OVP). OVP frees hearing care professionals from having to compromise on audibility to improve the sound of the own voice. It detects and processes the sound of the </w:t>
      </w:r>
      <w:r w:rsidR="00121B23">
        <w:t>wearer’s voice</w:t>
      </w:r>
      <w:r w:rsidR="00DF791D">
        <w:t xml:space="preserve"> completely independently from all surrounding sounds, including all other voices, for the most natural hearing experience with hearing aids.</w:t>
      </w:r>
    </w:p>
    <w:p w14:paraId="4073181A" w14:textId="130F5FCA" w:rsidR="00944590" w:rsidRDefault="00944590" w:rsidP="00D43898">
      <w:pPr>
        <w:spacing w:after="0" w:line="360" w:lineRule="auto"/>
      </w:pPr>
    </w:p>
    <w:p w14:paraId="4FDA8081" w14:textId="77777777" w:rsidR="00B3794E" w:rsidRDefault="00B3794E" w:rsidP="00D43898">
      <w:pPr>
        <w:spacing w:after="0" w:line="360" w:lineRule="auto"/>
      </w:pPr>
    </w:p>
    <w:p w14:paraId="1DE45676" w14:textId="02F18F73" w:rsidR="00104FEF" w:rsidRDefault="00944590" w:rsidP="00D43898">
      <w:pPr>
        <w:spacing w:after="0" w:line="360" w:lineRule="auto"/>
      </w:pPr>
      <w:r>
        <w:lastRenderedPageBreak/>
        <w:t>In addition, t</w:t>
      </w:r>
      <w:r w:rsidR="00D43898">
        <w:t xml:space="preserve">he high-capacity </w:t>
      </w:r>
      <w:r w:rsidR="004A0108">
        <w:t xml:space="preserve">Li-Ion </w:t>
      </w:r>
      <w:r w:rsidR="00D43898">
        <w:t>power cell of</w:t>
      </w:r>
      <w:r w:rsidR="00104FEF">
        <w:t xml:space="preserve"> Motion</w:t>
      </w:r>
      <w:r w:rsidR="00D43898">
        <w:t xml:space="preserve"> </w:t>
      </w:r>
      <w:proofErr w:type="spellStart"/>
      <w:r w:rsidR="00D43898">
        <w:t>Charge&amp;Go</w:t>
      </w:r>
      <w:proofErr w:type="spellEnd"/>
      <w:r w:rsidR="00D43898">
        <w:t xml:space="preserve"> </w:t>
      </w:r>
      <w:proofErr w:type="spellStart"/>
      <w:r w:rsidR="00D43898">
        <w:t>Nx</w:t>
      </w:r>
      <w:proofErr w:type="spellEnd"/>
      <w:r w:rsidR="00D43898">
        <w:t xml:space="preserve"> supports </w:t>
      </w:r>
      <w:r w:rsidR="008A0BEE">
        <w:t>continuous</w:t>
      </w:r>
      <w:r w:rsidR="00D43898">
        <w:t xml:space="preserve"> Bluetooth connectivity, allowing wearers to enjoy long-lasting high</w:t>
      </w:r>
      <w:r w:rsidR="003C498A">
        <w:t>-</w:t>
      </w:r>
      <w:r w:rsidR="00D43898">
        <w:t xml:space="preserve">quality stereo streaming of </w:t>
      </w:r>
      <w:r w:rsidR="00D43898" w:rsidRPr="00130F3C">
        <w:t>TV</w:t>
      </w:r>
      <w:r w:rsidR="00130F3C">
        <w:t xml:space="preserve"> </w:t>
      </w:r>
      <w:r w:rsidR="00D43898" w:rsidRPr="00130F3C">
        <w:t>audio</w:t>
      </w:r>
      <w:r w:rsidR="00D43898">
        <w:t>, music, and phone calls.</w:t>
      </w:r>
    </w:p>
    <w:p w14:paraId="3265E8BD" w14:textId="77777777" w:rsidR="00104FEF" w:rsidRDefault="00104FEF" w:rsidP="00D43898">
      <w:pPr>
        <w:spacing w:after="0" w:line="360" w:lineRule="auto"/>
      </w:pPr>
    </w:p>
    <w:p w14:paraId="79C1FEB6" w14:textId="076BAA30" w:rsidR="00D43898" w:rsidRDefault="00D26100" w:rsidP="00D43898">
      <w:pPr>
        <w:spacing w:after="0" w:line="360" w:lineRule="auto"/>
      </w:pPr>
      <w:r>
        <w:t>F</w:t>
      </w:r>
      <w:r w:rsidRPr="00AE56A5">
        <w:t xml:space="preserve">ull live remote tuning </w:t>
      </w:r>
      <w:r>
        <w:t xml:space="preserve">after the first fitting is supported via Signia </w:t>
      </w:r>
      <w:proofErr w:type="spellStart"/>
      <w:r>
        <w:t>TeleCare</w:t>
      </w:r>
      <w:proofErr w:type="spellEnd"/>
      <w:r>
        <w:t xml:space="preserve"> and </w:t>
      </w:r>
      <w:r w:rsidRPr="00AE56A5">
        <w:t xml:space="preserve">the powerful </w:t>
      </w:r>
      <w:proofErr w:type="spellStart"/>
      <w:r w:rsidRPr="00AE56A5">
        <w:t>Connexx</w:t>
      </w:r>
      <w:proofErr w:type="spellEnd"/>
      <w:r w:rsidRPr="00AE56A5">
        <w:t xml:space="preserve"> fitting software</w:t>
      </w:r>
      <w:r>
        <w:t xml:space="preserve">. This provides the optimal </w:t>
      </w:r>
      <w:r w:rsidRPr="00AE56A5">
        <w:t>tool to keep hearing aid trials on track and convert patients with hearing loss into satisfied customers.</w:t>
      </w:r>
    </w:p>
    <w:p w14:paraId="486CA929" w14:textId="13CB0434" w:rsidR="008A0BEE" w:rsidRDefault="008A0BEE" w:rsidP="00D43898">
      <w:pPr>
        <w:spacing w:after="0" w:line="360" w:lineRule="auto"/>
      </w:pPr>
    </w:p>
    <w:p w14:paraId="7134C551" w14:textId="3BB8EAB3" w:rsidR="008A0BEE" w:rsidRPr="00B24F98" w:rsidRDefault="008A0BEE" w:rsidP="00D43898">
      <w:pPr>
        <w:spacing w:after="0" w:line="360" w:lineRule="auto"/>
        <w:rPr>
          <w:lang w:val="en-GB"/>
        </w:rPr>
      </w:pPr>
      <w:r>
        <w:t xml:space="preserve">For more information: </w:t>
      </w:r>
      <w:hyperlink r:id="rId9" w:history="1">
        <w:r w:rsidR="00847F48">
          <w:rPr>
            <w:rStyle w:val="Hyperlink"/>
            <w:lang w:val="en-GB"/>
          </w:rPr>
          <w:t>www.signia-pro.com/motion-charge-go/</w:t>
        </w:r>
      </w:hyperlink>
    </w:p>
    <w:p w14:paraId="46770823" w14:textId="6CFEDE56" w:rsidR="000F12BD" w:rsidRDefault="000F12BD">
      <w:pPr>
        <w:spacing w:after="0" w:line="360" w:lineRule="auto"/>
      </w:pPr>
    </w:p>
    <w:p w14:paraId="46065176" w14:textId="38ABC088" w:rsidR="00597052" w:rsidRDefault="000F12BD">
      <w:pPr>
        <w:spacing w:after="0" w:line="360" w:lineRule="auto"/>
        <w:rPr>
          <w:sz w:val="16"/>
          <w:szCs w:val="16"/>
        </w:rPr>
      </w:pPr>
      <w:r w:rsidRPr="000F12BD">
        <w:rPr>
          <w:sz w:val="16"/>
          <w:szCs w:val="16"/>
          <w:vertAlign w:val="superscript"/>
        </w:rPr>
        <w:t>1</w:t>
      </w:r>
      <w:r>
        <w:rPr>
          <w:sz w:val="16"/>
          <w:szCs w:val="16"/>
        </w:rPr>
        <w:t xml:space="preserve"> </w:t>
      </w:r>
      <w:r w:rsidRPr="00044E64">
        <w:rPr>
          <w:sz w:val="16"/>
          <w:szCs w:val="16"/>
        </w:rPr>
        <w:t xml:space="preserve">2017 “OVP Study” conducted at University of Northern Colorado examining the effect of Own </w:t>
      </w:r>
      <w:r>
        <w:rPr>
          <w:sz w:val="16"/>
          <w:szCs w:val="16"/>
        </w:rPr>
        <w:t>Voice Processing on</w:t>
      </w:r>
      <w:r>
        <w:rPr>
          <w:sz w:val="16"/>
          <w:szCs w:val="16"/>
        </w:rPr>
        <w:br/>
        <w:t xml:space="preserve">  </w:t>
      </w:r>
      <w:r w:rsidRPr="000F12BD">
        <w:rPr>
          <w:sz w:val="16"/>
          <w:szCs w:val="16"/>
        </w:rPr>
        <w:t>spontaneous</w:t>
      </w:r>
      <w:r w:rsidRPr="00044E64">
        <w:rPr>
          <w:sz w:val="16"/>
          <w:szCs w:val="16"/>
        </w:rPr>
        <w:t xml:space="preserve"> acceptance after first fit of hearing aids. </w:t>
      </w:r>
      <w:r w:rsidRPr="008D003A">
        <w:rPr>
          <w:sz w:val="16"/>
          <w:szCs w:val="16"/>
        </w:rPr>
        <w:t xml:space="preserve">Further details: </w:t>
      </w:r>
      <w:hyperlink r:id="rId10" w:history="1">
        <w:r w:rsidR="00A44906" w:rsidRPr="0005742E">
          <w:rPr>
            <w:rStyle w:val="Hyperlink"/>
            <w:sz w:val="16"/>
            <w:szCs w:val="16"/>
          </w:rPr>
          <w:t>www.signia-pro.com/ovp-study</w:t>
        </w:r>
      </w:hyperlink>
    </w:p>
    <w:p w14:paraId="35BF7FA7" w14:textId="4010B6F5" w:rsidR="00A44906" w:rsidRDefault="00A44906">
      <w:pPr>
        <w:spacing w:after="0" w:line="360" w:lineRule="auto"/>
      </w:pPr>
    </w:p>
    <w:p w14:paraId="5C47BE5A" w14:textId="77777777" w:rsidR="00B24F98" w:rsidRDefault="00B24F98">
      <w:pPr>
        <w:spacing w:after="0" w:line="360" w:lineRule="auto"/>
      </w:pPr>
    </w:p>
    <w:p w14:paraId="4E05AB2B" w14:textId="77777777" w:rsidR="009404E3" w:rsidRDefault="009404E3" w:rsidP="009404E3">
      <w:pPr>
        <w:pStyle w:val="Default"/>
        <w:spacing w:after="200"/>
        <w:rPr>
          <w:b/>
          <w:bCs/>
          <w:color w:val="auto"/>
          <w:sz w:val="20"/>
          <w:szCs w:val="20"/>
          <w:lang w:val="en-US"/>
        </w:rPr>
      </w:pPr>
      <w:r w:rsidRPr="00B97014">
        <w:rPr>
          <w:b/>
          <w:bCs/>
          <w:color w:val="auto"/>
          <w:sz w:val="20"/>
          <w:szCs w:val="20"/>
          <w:lang w:val="en-US"/>
        </w:rPr>
        <w:t xml:space="preserve">About the Sivantos Group </w:t>
      </w:r>
    </w:p>
    <w:p w14:paraId="4A846EA8" w14:textId="77777777" w:rsidR="009404E3" w:rsidRPr="006862A4" w:rsidRDefault="009404E3" w:rsidP="009404E3">
      <w:pPr>
        <w:spacing w:after="0" w:line="360" w:lineRule="auto"/>
        <w:rPr>
          <w:sz w:val="16"/>
          <w:szCs w:val="16"/>
        </w:rPr>
      </w:pPr>
      <w:r w:rsidRPr="006862A4">
        <w:rPr>
          <w:sz w:val="16"/>
          <w:szCs w:val="16"/>
        </w:rPr>
        <w:t>The business operations of the former Siemens AG hearing aid division have been combined into the Sivantos Group</w:t>
      </w:r>
    </w:p>
    <w:p w14:paraId="00D30239" w14:textId="2D1FED1B" w:rsidR="00AF0F90" w:rsidRDefault="009404E3" w:rsidP="00AF0F90">
      <w:pPr>
        <w:spacing w:after="0" w:line="360" w:lineRule="auto"/>
        <w:rPr>
          <w:sz w:val="16"/>
          <w:szCs w:val="16"/>
        </w:rPr>
      </w:pPr>
      <w:r w:rsidRPr="006862A4">
        <w:rPr>
          <w:sz w:val="16"/>
          <w:szCs w:val="16"/>
        </w:rPr>
        <w:t>since early 2015</w:t>
      </w:r>
      <w:r w:rsidR="00AF0F90">
        <w:rPr>
          <w:sz w:val="16"/>
          <w:szCs w:val="16"/>
        </w:rPr>
        <w:t xml:space="preserve">. Sivantos can look back on 140 </w:t>
      </w:r>
      <w:bookmarkStart w:id="1" w:name="_GoBack"/>
      <w:bookmarkEnd w:id="1"/>
      <w:r w:rsidR="00AF0F90">
        <w:rPr>
          <w:sz w:val="16"/>
          <w:szCs w:val="16"/>
        </w:rPr>
        <w:t>years of German engineering and countless global innovations.</w:t>
      </w:r>
    </w:p>
    <w:p w14:paraId="3A08FFD3" w14:textId="77777777" w:rsidR="00AF0F90" w:rsidRDefault="00AF0F90" w:rsidP="00AF0F90">
      <w:pPr>
        <w:spacing w:after="0" w:line="360" w:lineRule="auto"/>
        <w:rPr>
          <w:sz w:val="16"/>
          <w:szCs w:val="16"/>
        </w:rPr>
      </w:pPr>
      <w:r>
        <w:rPr>
          <w:sz w:val="16"/>
          <w:szCs w:val="16"/>
        </w:rPr>
        <w:t>Today Sivantos is one of the leading hearing aid manufacturers worldwide. With its around 6,000 employees, the group</w:t>
      </w:r>
    </w:p>
    <w:p w14:paraId="064B278F" w14:textId="77777777" w:rsidR="00AF0F90" w:rsidRDefault="00AF0F90" w:rsidP="00AF0F90">
      <w:pPr>
        <w:spacing w:after="0" w:line="360" w:lineRule="auto"/>
        <w:rPr>
          <w:sz w:val="16"/>
          <w:szCs w:val="16"/>
        </w:rPr>
      </w:pPr>
      <w:r>
        <w:rPr>
          <w:sz w:val="16"/>
          <w:szCs w:val="16"/>
        </w:rPr>
        <w:t>recorded revenues of 967 million euros in the fiscal year 2016/2017 and an adj. EBITDA of 238 million</w:t>
      </w:r>
    </w:p>
    <w:p w14:paraId="0C395917" w14:textId="77777777" w:rsidR="00AF0F90" w:rsidRDefault="00AF0F90" w:rsidP="00AF0F90">
      <w:pPr>
        <w:spacing w:after="0" w:line="360" w:lineRule="auto"/>
        <w:rPr>
          <w:sz w:val="16"/>
          <w:szCs w:val="16"/>
        </w:rPr>
      </w:pPr>
      <w:r>
        <w:rPr>
          <w:sz w:val="16"/>
          <w:szCs w:val="16"/>
        </w:rPr>
        <w:t>euros. Sivantos' international sales organization supplies hearing care specialists and sales partners in more than 120</w:t>
      </w:r>
    </w:p>
    <w:p w14:paraId="0F1B8D6B" w14:textId="77777777" w:rsidR="00AF0F90" w:rsidRDefault="00AF0F90" w:rsidP="00AF0F90">
      <w:pPr>
        <w:spacing w:after="0" w:line="360" w:lineRule="auto"/>
        <w:rPr>
          <w:sz w:val="16"/>
          <w:szCs w:val="16"/>
        </w:rPr>
      </w:pPr>
      <w:r>
        <w:rPr>
          <w:sz w:val="16"/>
          <w:szCs w:val="16"/>
        </w:rPr>
        <w:t>countries. Particularly high value is placed on product development. Sivantos aims to become the market leader in the</w:t>
      </w:r>
    </w:p>
    <w:p w14:paraId="2F0CEEFB" w14:textId="77777777" w:rsidR="00AF0F90" w:rsidRDefault="00AF0F90" w:rsidP="00AF0F90">
      <w:pPr>
        <w:spacing w:after="0" w:line="360" w:lineRule="auto"/>
        <w:rPr>
          <w:sz w:val="16"/>
          <w:szCs w:val="16"/>
        </w:rPr>
      </w:pPr>
      <w:r>
        <w:rPr>
          <w:sz w:val="16"/>
          <w:szCs w:val="16"/>
        </w:rPr>
        <w:t xml:space="preserve">coming years with its brands Signia, Siemens, Audio Service, </w:t>
      </w:r>
      <w:proofErr w:type="spellStart"/>
      <w:r>
        <w:rPr>
          <w:sz w:val="16"/>
          <w:szCs w:val="16"/>
        </w:rPr>
        <w:t>Rexton</w:t>
      </w:r>
      <w:proofErr w:type="spellEnd"/>
      <w:r>
        <w:rPr>
          <w:sz w:val="16"/>
          <w:szCs w:val="16"/>
        </w:rPr>
        <w:t xml:space="preserve">, A&amp;M, </w:t>
      </w:r>
      <w:proofErr w:type="spellStart"/>
      <w:r>
        <w:rPr>
          <w:sz w:val="16"/>
          <w:szCs w:val="16"/>
        </w:rPr>
        <w:t>HearUSA</w:t>
      </w:r>
      <w:proofErr w:type="spellEnd"/>
      <w:r>
        <w:rPr>
          <w:sz w:val="16"/>
          <w:szCs w:val="16"/>
        </w:rPr>
        <w:t xml:space="preserve"> and audibene. The owners of</w:t>
      </w:r>
    </w:p>
    <w:p w14:paraId="42123D5A" w14:textId="10794355" w:rsidR="00AF0F90" w:rsidRPr="00AF0F90" w:rsidRDefault="00AF0F90" w:rsidP="00AF0F90">
      <w:pPr>
        <w:spacing w:after="0" w:line="360" w:lineRule="auto"/>
        <w:rPr>
          <w:color w:val="auto"/>
          <w:sz w:val="16"/>
          <w:szCs w:val="16"/>
        </w:rPr>
      </w:pPr>
      <w:r>
        <w:rPr>
          <w:color w:val="auto"/>
          <w:sz w:val="16"/>
          <w:szCs w:val="16"/>
        </w:rPr>
        <w:t xml:space="preserve">Sivantos are the anchor investors EQT along with the </w:t>
      </w:r>
      <w:proofErr w:type="spellStart"/>
      <w:r>
        <w:rPr>
          <w:color w:val="auto"/>
          <w:sz w:val="16"/>
          <w:szCs w:val="16"/>
        </w:rPr>
        <w:t>Strüngmann</w:t>
      </w:r>
      <w:proofErr w:type="spellEnd"/>
      <w:r>
        <w:rPr>
          <w:color w:val="auto"/>
          <w:sz w:val="16"/>
          <w:szCs w:val="16"/>
        </w:rPr>
        <w:t xml:space="preserve"> family as a co-investor.</w:t>
      </w:r>
    </w:p>
    <w:p w14:paraId="39A31AEB" w14:textId="77777777" w:rsidR="009404E3" w:rsidRDefault="009404E3" w:rsidP="009404E3">
      <w:pPr>
        <w:spacing w:after="0" w:line="360" w:lineRule="auto"/>
        <w:rPr>
          <w:sz w:val="16"/>
          <w:szCs w:val="16"/>
        </w:rPr>
      </w:pPr>
      <w:r w:rsidRPr="006862A4">
        <w:rPr>
          <w:sz w:val="16"/>
          <w:szCs w:val="16"/>
        </w:rPr>
        <w:t xml:space="preserve">Sivantos GmbH is a brand license holder of Siemens AG. More information can be found at </w:t>
      </w:r>
      <w:hyperlink r:id="rId11" w:history="1">
        <w:r w:rsidRPr="00BC36DE">
          <w:rPr>
            <w:rStyle w:val="Hyperlink"/>
            <w:sz w:val="16"/>
            <w:szCs w:val="16"/>
          </w:rPr>
          <w:t>www.sivantos.com</w:t>
        </w:r>
      </w:hyperlink>
    </w:p>
    <w:p w14:paraId="414C6F94" w14:textId="77777777" w:rsidR="009404E3" w:rsidRPr="00B97014" w:rsidRDefault="009404E3" w:rsidP="009404E3">
      <w:pPr>
        <w:pStyle w:val="Default"/>
        <w:spacing w:after="200"/>
        <w:rPr>
          <w:color w:val="auto"/>
          <w:sz w:val="16"/>
          <w:szCs w:val="16"/>
          <w:lang w:val="en-US"/>
        </w:rPr>
      </w:pPr>
    </w:p>
    <w:p w14:paraId="5021EB70" w14:textId="77777777" w:rsidR="006677FB" w:rsidRDefault="006677FB">
      <w:pPr>
        <w:spacing w:after="0" w:line="360" w:lineRule="auto"/>
      </w:pPr>
    </w:p>
    <w:p w14:paraId="346E5B4F" w14:textId="7FE032A1" w:rsidR="000F12BD" w:rsidRPr="00921C72" w:rsidRDefault="000F12BD" w:rsidP="000F12BD">
      <w:pPr>
        <w:spacing w:after="120" w:line="360" w:lineRule="auto"/>
        <w:rPr>
          <w:b/>
        </w:rPr>
      </w:pPr>
      <w:r w:rsidRPr="00921C72">
        <w:rPr>
          <w:b/>
        </w:rPr>
        <w:t>Contact for journalists:</w:t>
      </w:r>
    </w:p>
    <w:p w14:paraId="30AC76D0" w14:textId="131D8117" w:rsidR="006677FB" w:rsidRPr="0025147E" w:rsidRDefault="000F12BD" w:rsidP="006677FB">
      <w:pPr>
        <w:spacing w:after="0" w:line="360" w:lineRule="auto"/>
      </w:pPr>
      <w:r w:rsidRPr="0025147E">
        <w:t>Erika Weigmann; Phone: +49 9131 308 3449; E-</w:t>
      </w:r>
      <w:r w:rsidR="005B3318" w:rsidRPr="0025147E">
        <w:t>M</w:t>
      </w:r>
      <w:r w:rsidRPr="0025147E">
        <w:t xml:space="preserve">ail: </w:t>
      </w:r>
      <w:hyperlink r:id="rId12" w:history="1">
        <w:r w:rsidRPr="0025147E">
          <w:rPr>
            <w:rStyle w:val="Hyperlink"/>
          </w:rPr>
          <w:t>erika.weigmann@sivantos.com</w:t>
        </w:r>
      </w:hyperlink>
    </w:p>
    <w:p w14:paraId="1A4308EA" w14:textId="45710FBD" w:rsidR="006677FB" w:rsidRPr="0025147E" w:rsidRDefault="006677FB">
      <w:pPr>
        <w:spacing w:after="120" w:line="360" w:lineRule="auto"/>
        <w:rPr>
          <w:b/>
        </w:rPr>
      </w:pPr>
    </w:p>
    <w:p w14:paraId="1D758E1E" w14:textId="77777777" w:rsidR="00651E86" w:rsidRPr="0025147E" w:rsidRDefault="00651E86">
      <w:pPr>
        <w:spacing w:after="120" w:line="360" w:lineRule="auto"/>
        <w:rPr>
          <w:b/>
        </w:rPr>
      </w:pPr>
    </w:p>
    <w:p w14:paraId="2962A871" w14:textId="77777777" w:rsidR="0025147E" w:rsidRDefault="0025147E">
      <w:pPr>
        <w:spacing w:after="120" w:line="360" w:lineRule="auto"/>
        <w:rPr>
          <w:b/>
        </w:rPr>
      </w:pPr>
    </w:p>
    <w:p w14:paraId="0D794924" w14:textId="77777777" w:rsidR="0025147E" w:rsidRDefault="0025147E">
      <w:pPr>
        <w:spacing w:after="120" w:line="360" w:lineRule="auto"/>
        <w:rPr>
          <w:b/>
        </w:rPr>
      </w:pPr>
    </w:p>
    <w:p w14:paraId="37839553" w14:textId="1718CA48" w:rsidR="0025147E" w:rsidRDefault="0025147E">
      <w:pPr>
        <w:spacing w:after="120" w:line="360" w:lineRule="auto"/>
        <w:rPr>
          <w:b/>
        </w:rPr>
      </w:pPr>
    </w:p>
    <w:p w14:paraId="2D14DAB0" w14:textId="77777777" w:rsidR="00AF0F90" w:rsidRDefault="00AF0F90">
      <w:pPr>
        <w:spacing w:after="120" w:line="360" w:lineRule="auto"/>
        <w:rPr>
          <w:b/>
        </w:rPr>
      </w:pPr>
    </w:p>
    <w:p w14:paraId="6ED88561" w14:textId="4B67F732" w:rsidR="0025147E" w:rsidRDefault="0025147E">
      <w:pPr>
        <w:spacing w:after="120" w:line="360" w:lineRule="auto"/>
        <w:rPr>
          <w:b/>
        </w:rPr>
      </w:pPr>
    </w:p>
    <w:p w14:paraId="1BF39F1E" w14:textId="77777777" w:rsidR="0025147E" w:rsidRDefault="0025147E">
      <w:pPr>
        <w:spacing w:after="120" w:line="360" w:lineRule="auto"/>
        <w:rPr>
          <w:b/>
        </w:rPr>
      </w:pPr>
    </w:p>
    <w:p w14:paraId="59B8EE4A" w14:textId="3C70BA09" w:rsidR="00C858FD" w:rsidRPr="00921C72" w:rsidRDefault="00895DBD">
      <w:pPr>
        <w:spacing w:after="120" w:line="360" w:lineRule="auto"/>
        <w:rPr>
          <w:b/>
        </w:rPr>
      </w:pPr>
      <w:r w:rsidRPr="00921C72">
        <w:rPr>
          <w:b/>
        </w:rPr>
        <w:lastRenderedPageBreak/>
        <w:t>Press images</w:t>
      </w:r>
    </w:p>
    <w:p w14:paraId="05766575" w14:textId="735463D0" w:rsidR="00DF3A61" w:rsidRPr="00DF3A61" w:rsidRDefault="00895DBD" w:rsidP="002A172F">
      <w:pPr>
        <w:spacing w:after="0" w:line="360" w:lineRule="auto"/>
        <w:rPr>
          <w:u w:val="single"/>
        </w:rPr>
      </w:pPr>
      <w:r w:rsidRPr="00DF3A61">
        <w:t xml:space="preserve">All photos are available for download at </w:t>
      </w:r>
      <w:bookmarkStart w:id="2" w:name="_Hlk520987738"/>
      <w:r w:rsidR="0093572D">
        <w:rPr>
          <w:rStyle w:val="Hyperlink"/>
        </w:rPr>
        <w:fldChar w:fldCharType="begin"/>
      </w:r>
      <w:r w:rsidR="005303FB">
        <w:rPr>
          <w:rStyle w:val="Hyperlink"/>
        </w:rPr>
        <w:instrText>HYPERLINK "https://www.sivantos.com/category/press"</w:instrText>
      </w:r>
      <w:r w:rsidR="0093572D">
        <w:rPr>
          <w:rStyle w:val="Hyperlink"/>
        </w:rPr>
        <w:fldChar w:fldCharType="separate"/>
      </w:r>
      <w:r w:rsidR="005303FB">
        <w:rPr>
          <w:rStyle w:val="Hyperlink"/>
        </w:rPr>
        <w:t>sivantos.com/category/press</w:t>
      </w:r>
      <w:r w:rsidR="0093572D">
        <w:rPr>
          <w:rStyle w:val="Hyperlink"/>
        </w:rPr>
        <w:fldChar w:fldCharType="end"/>
      </w:r>
      <w:r w:rsidR="005D6095">
        <w:rPr>
          <w:rStyle w:val="Hyperlink"/>
        </w:rPr>
        <w:t>/</w:t>
      </w:r>
      <w:bookmarkEnd w:id="2"/>
    </w:p>
    <w:p w14:paraId="19F372E7" w14:textId="228FA6B8" w:rsidR="00A84773" w:rsidRPr="00571100" w:rsidRDefault="00ED46BC" w:rsidP="00A84773">
      <w:pPr>
        <w:spacing w:after="120" w:line="360" w:lineRule="auto"/>
      </w:pPr>
      <w:r>
        <w:rPr>
          <w:noProof/>
          <w:highlight w:val="lightGray"/>
        </w:rPr>
        <w:drawing>
          <wp:anchor distT="0" distB="0" distL="114300" distR="114300" simplePos="0" relativeHeight="251663360" behindDoc="0" locked="0" layoutInCell="1" allowOverlap="1" wp14:anchorId="0A7AAE38" wp14:editId="66D99468">
            <wp:simplePos x="0" y="0"/>
            <wp:positionH relativeFrom="column">
              <wp:posOffset>-254657</wp:posOffset>
            </wp:positionH>
            <wp:positionV relativeFrom="paragraph">
              <wp:posOffset>401320</wp:posOffset>
            </wp:positionV>
            <wp:extent cx="2557780" cy="2267585"/>
            <wp:effectExtent l="0" t="0" r="0" b="0"/>
            <wp:wrapThrough wrapText="bothSides">
              <wp:wrapPolygon edited="0">
                <wp:start x="0" y="0"/>
                <wp:lineTo x="0" y="21412"/>
                <wp:lineTo x="21396" y="21412"/>
                <wp:lineTo x="21396" y="0"/>
                <wp:lineTo x="0" y="0"/>
              </wp:wrapPolygon>
            </wp:wrapThrough>
            <wp:docPr id="6" name="Grafik 6" descr="C:\Users\Z003HK3A\Desktop\Bilder\Motion_Charge&amp;Go_Nx_hero_LT-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003HK3A\Desktop\Bilder\Motion_Charge&amp;Go_Nx_hero_LT-prev.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342"/>
                    <a:stretch/>
                  </pic:blipFill>
                  <pic:spPr bwMode="auto">
                    <a:xfrm>
                      <a:off x="0" y="0"/>
                      <a:ext cx="2557780" cy="226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CB7BC" w14:textId="67AAE7E8" w:rsidR="0025147E" w:rsidRDefault="0025147E" w:rsidP="002A172F">
      <w:pPr>
        <w:spacing w:after="0" w:line="360" w:lineRule="auto"/>
        <w:rPr>
          <w:highlight w:val="lightGray"/>
        </w:rPr>
      </w:pPr>
    </w:p>
    <w:p w14:paraId="1827E7A3" w14:textId="49390347" w:rsidR="006B2AFD" w:rsidRDefault="006B2AFD" w:rsidP="002A172F">
      <w:pPr>
        <w:spacing w:after="0" w:line="360" w:lineRule="auto"/>
        <w:rPr>
          <w:highlight w:val="lightGray"/>
        </w:rPr>
      </w:pPr>
    </w:p>
    <w:p w14:paraId="4290888A" w14:textId="7F8C9BDE" w:rsidR="0025147E" w:rsidRPr="0025147E" w:rsidRDefault="0025147E" w:rsidP="002A172F">
      <w:pPr>
        <w:spacing w:after="0" w:line="360" w:lineRule="auto"/>
      </w:pPr>
    </w:p>
    <w:p w14:paraId="0608CDA1" w14:textId="23F7ABCD" w:rsidR="00C05475" w:rsidRDefault="00C05475" w:rsidP="006B2AFD">
      <w:pPr>
        <w:spacing w:after="0" w:line="360" w:lineRule="auto"/>
        <w:ind w:left="5387"/>
        <w:rPr>
          <w:sz w:val="20"/>
          <w:szCs w:val="20"/>
        </w:rPr>
      </w:pPr>
      <w:r w:rsidRPr="00B80D8D">
        <w:rPr>
          <w:sz w:val="20"/>
          <w:szCs w:val="20"/>
        </w:rPr>
        <w:t xml:space="preserve">With its high-capacity Li-Ion power cell Motion </w:t>
      </w:r>
      <w:proofErr w:type="spellStart"/>
      <w:r w:rsidRPr="00B80D8D">
        <w:rPr>
          <w:sz w:val="20"/>
          <w:szCs w:val="20"/>
        </w:rPr>
        <w:t>Charge&amp;Go</w:t>
      </w:r>
      <w:proofErr w:type="spellEnd"/>
      <w:r w:rsidRPr="00B80D8D">
        <w:rPr>
          <w:sz w:val="20"/>
          <w:szCs w:val="20"/>
        </w:rPr>
        <w:t xml:space="preserve"> </w:t>
      </w:r>
      <w:proofErr w:type="spellStart"/>
      <w:r w:rsidRPr="00B80D8D">
        <w:rPr>
          <w:sz w:val="20"/>
          <w:szCs w:val="20"/>
        </w:rPr>
        <w:t>Nx</w:t>
      </w:r>
      <w:proofErr w:type="spellEnd"/>
      <w:r w:rsidRPr="00B80D8D">
        <w:rPr>
          <w:sz w:val="20"/>
          <w:szCs w:val="20"/>
        </w:rPr>
        <w:t xml:space="preserve"> allows wearers to enjoy long-lasting high-quality stereo streaming of TV audio, music, and phone calls.</w:t>
      </w:r>
    </w:p>
    <w:p w14:paraId="1AC54673" w14:textId="0045B843" w:rsidR="00C05475" w:rsidRPr="00B80D8D" w:rsidRDefault="00C05475" w:rsidP="006B2AFD">
      <w:pPr>
        <w:spacing w:after="0" w:line="360" w:lineRule="auto"/>
        <w:ind w:left="4667" w:firstLine="720"/>
        <w:rPr>
          <w:sz w:val="20"/>
          <w:szCs w:val="20"/>
        </w:rPr>
      </w:pPr>
      <w:r>
        <w:rPr>
          <w:sz w:val="20"/>
          <w:szCs w:val="20"/>
        </w:rPr>
        <w:t>Copyright: Sivantos</w:t>
      </w:r>
    </w:p>
    <w:p w14:paraId="62F59F6E" w14:textId="3E4E21EE" w:rsidR="0025147E" w:rsidRDefault="0025147E" w:rsidP="006B2AFD">
      <w:pPr>
        <w:spacing w:after="0" w:line="360" w:lineRule="auto"/>
      </w:pPr>
    </w:p>
    <w:p w14:paraId="5678827F" w14:textId="12F9DED9" w:rsidR="006B2AFD" w:rsidRPr="00130F3C" w:rsidRDefault="006B2AFD" w:rsidP="006B2AFD">
      <w:pPr>
        <w:spacing w:after="0" w:line="360" w:lineRule="auto"/>
      </w:pPr>
    </w:p>
    <w:p w14:paraId="7B9F8BC5" w14:textId="4BAB2F71" w:rsidR="0025147E" w:rsidRPr="00130F3C" w:rsidRDefault="00ED46BC" w:rsidP="006B2AFD">
      <w:pPr>
        <w:spacing w:after="0" w:line="360" w:lineRule="auto"/>
        <w:ind w:left="5387"/>
      </w:pPr>
      <w:r>
        <w:rPr>
          <w:noProof/>
          <w:highlight w:val="lightGray"/>
        </w:rPr>
        <w:drawing>
          <wp:anchor distT="0" distB="0" distL="114300" distR="114300" simplePos="0" relativeHeight="251662336" behindDoc="0" locked="0" layoutInCell="1" allowOverlap="1" wp14:anchorId="7F813057" wp14:editId="172BAEC8">
            <wp:simplePos x="0" y="0"/>
            <wp:positionH relativeFrom="column">
              <wp:posOffset>13335</wp:posOffset>
            </wp:positionH>
            <wp:positionV relativeFrom="paragraph">
              <wp:posOffset>154466</wp:posOffset>
            </wp:positionV>
            <wp:extent cx="3231515" cy="2305050"/>
            <wp:effectExtent l="0" t="0" r="6985" b="0"/>
            <wp:wrapThrough wrapText="bothSides">
              <wp:wrapPolygon edited="0">
                <wp:start x="0" y="0"/>
                <wp:lineTo x="0" y="21421"/>
                <wp:lineTo x="21519" y="21421"/>
                <wp:lineTo x="21519" y="0"/>
                <wp:lineTo x="0" y="0"/>
              </wp:wrapPolygon>
            </wp:wrapThrough>
            <wp:docPr id="2" name="Grafik 2" descr="C:\Users\Z003HK3A\Desktop\Bilder\Motion_Charge&amp;Go_Nx_Mil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Bilder\Motion_Charge&amp;Go_Nx_Mili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151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12D5" w14:textId="043EEA56" w:rsidR="0025147E" w:rsidRDefault="0025147E" w:rsidP="006B2AFD">
      <w:pPr>
        <w:spacing w:after="0" w:line="360" w:lineRule="auto"/>
        <w:ind w:left="5387"/>
      </w:pPr>
    </w:p>
    <w:p w14:paraId="23628DE7" w14:textId="4AE844FB" w:rsidR="006B2AFD" w:rsidRDefault="006B2AFD" w:rsidP="006B2AFD">
      <w:pPr>
        <w:spacing w:after="0" w:line="360" w:lineRule="auto"/>
        <w:ind w:left="5387"/>
      </w:pPr>
    </w:p>
    <w:p w14:paraId="3FA68C89" w14:textId="77777777" w:rsidR="006B2AFD" w:rsidRPr="00130F3C" w:rsidRDefault="006B2AFD" w:rsidP="006B2AFD">
      <w:pPr>
        <w:spacing w:after="0" w:line="360" w:lineRule="auto"/>
        <w:ind w:left="5387"/>
      </w:pPr>
    </w:p>
    <w:p w14:paraId="00B18164" w14:textId="368676F3" w:rsidR="0025147E" w:rsidRPr="00130F3C" w:rsidRDefault="0025147E" w:rsidP="006B2AFD">
      <w:pPr>
        <w:spacing w:after="0" w:line="360" w:lineRule="auto"/>
        <w:ind w:left="5387"/>
      </w:pPr>
    </w:p>
    <w:p w14:paraId="1A4013BE" w14:textId="3EE8DF63" w:rsidR="00F6787E" w:rsidRDefault="00DD2716" w:rsidP="006B2AFD">
      <w:pPr>
        <w:spacing w:after="0" w:line="360" w:lineRule="auto"/>
        <w:ind w:left="5387"/>
        <w:contextualSpacing/>
        <w:rPr>
          <w:sz w:val="20"/>
          <w:szCs w:val="20"/>
        </w:rPr>
      </w:pPr>
      <w:r>
        <w:rPr>
          <w:sz w:val="20"/>
          <w:szCs w:val="20"/>
        </w:rPr>
        <w:t>M</w:t>
      </w:r>
      <w:r w:rsidR="00F6787E" w:rsidRPr="00F6787E">
        <w:rPr>
          <w:sz w:val="20"/>
          <w:szCs w:val="20"/>
        </w:rPr>
        <w:t>otion</w:t>
      </w:r>
      <w:r w:rsidR="00F6787E" w:rsidRPr="00F6787E">
        <w:rPr>
          <w:sz w:val="20"/>
          <w:szCs w:val="20"/>
          <w:vertAlign w:val="superscript"/>
        </w:rPr>
        <w:t xml:space="preserve"> </w:t>
      </w:r>
      <w:proofErr w:type="spellStart"/>
      <w:r w:rsidR="00F6787E" w:rsidRPr="00F6787E">
        <w:rPr>
          <w:sz w:val="20"/>
          <w:szCs w:val="20"/>
        </w:rPr>
        <w:t>Charge&amp;Go</w:t>
      </w:r>
      <w:proofErr w:type="spellEnd"/>
      <w:r w:rsidR="00F6787E" w:rsidRPr="00F6787E">
        <w:rPr>
          <w:sz w:val="20"/>
          <w:szCs w:val="20"/>
        </w:rPr>
        <w:t xml:space="preserve"> </w:t>
      </w:r>
      <w:proofErr w:type="spellStart"/>
      <w:r w:rsidR="00F6787E" w:rsidRPr="00F6787E">
        <w:rPr>
          <w:sz w:val="20"/>
          <w:szCs w:val="20"/>
        </w:rPr>
        <w:t>Nx</w:t>
      </w:r>
      <w:proofErr w:type="spellEnd"/>
      <w:r w:rsidR="00F6787E" w:rsidRPr="00F6787E">
        <w:rPr>
          <w:sz w:val="20"/>
          <w:szCs w:val="20"/>
        </w:rPr>
        <w:t xml:space="preserve"> </w:t>
      </w:r>
      <w:r w:rsidR="00F6787E">
        <w:rPr>
          <w:sz w:val="20"/>
          <w:szCs w:val="20"/>
        </w:rPr>
        <w:t xml:space="preserve">from the brand Signia </w:t>
      </w:r>
      <w:r>
        <w:rPr>
          <w:sz w:val="20"/>
          <w:szCs w:val="20"/>
        </w:rPr>
        <w:t xml:space="preserve">offers </w:t>
      </w:r>
      <w:r w:rsidR="00F6787E" w:rsidRPr="00F6787E">
        <w:rPr>
          <w:sz w:val="20"/>
          <w:szCs w:val="20"/>
        </w:rPr>
        <w:t>inductive charg</w:t>
      </w:r>
      <w:r>
        <w:rPr>
          <w:sz w:val="20"/>
          <w:szCs w:val="20"/>
        </w:rPr>
        <w:t>ing</w:t>
      </w:r>
      <w:r w:rsidR="00F6787E" w:rsidRPr="00F6787E">
        <w:rPr>
          <w:sz w:val="20"/>
          <w:szCs w:val="20"/>
        </w:rPr>
        <w:t xml:space="preserve">, </w:t>
      </w:r>
      <w:r>
        <w:rPr>
          <w:sz w:val="20"/>
          <w:szCs w:val="20"/>
        </w:rPr>
        <w:t>Bluetooth connectivity, natural sound experience</w:t>
      </w:r>
      <w:r w:rsidR="00F6787E" w:rsidRPr="00F6787E">
        <w:rPr>
          <w:sz w:val="20"/>
          <w:szCs w:val="20"/>
        </w:rPr>
        <w:t xml:space="preserve"> and </w:t>
      </w:r>
      <w:r>
        <w:rPr>
          <w:sz w:val="20"/>
          <w:szCs w:val="20"/>
        </w:rPr>
        <w:t>remote fitting</w:t>
      </w:r>
      <w:r w:rsidR="00C05475">
        <w:rPr>
          <w:sz w:val="20"/>
          <w:szCs w:val="20"/>
        </w:rPr>
        <w:t xml:space="preserve"> in one device</w:t>
      </w:r>
      <w:r>
        <w:rPr>
          <w:sz w:val="20"/>
          <w:szCs w:val="20"/>
        </w:rPr>
        <w:t>.</w:t>
      </w:r>
      <w:r w:rsidR="00F6787E" w:rsidRPr="00F6787E">
        <w:rPr>
          <w:sz w:val="20"/>
          <w:szCs w:val="20"/>
        </w:rPr>
        <w:t xml:space="preserve"> </w:t>
      </w:r>
    </w:p>
    <w:p w14:paraId="27421107" w14:textId="0877994B" w:rsidR="00F6787E" w:rsidRPr="00F6787E" w:rsidRDefault="006B2AFD" w:rsidP="006B2AFD">
      <w:pPr>
        <w:spacing w:after="0" w:line="360" w:lineRule="auto"/>
        <w:ind w:left="5387"/>
        <w:contextualSpacing/>
        <w:rPr>
          <w:sz w:val="20"/>
          <w:szCs w:val="20"/>
        </w:rPr>
      </w:pPr>
      <w:r>
        <w:rPr>
          <w:sz w:val="20"/>
          <w:szCs w:val="20"/>
        </w:rPr>
        <w:t>Copyright</w:t>
      </w:r>
      <w:r w:rsidR="00F6787E">
        <w:rPr>
          <w:sz w:val="20"/>
          <w:szCs w:val="20"/>
        </w:rPr>
        <w:t>: Sivantos</w:t>
      </w:r>
    </w:p>
    <w:p w14:paraId="15677DB4" w14:textId="3E948C8C" w:rsidR="006B2AFD" w:rsidRDefault="006B2AFD" w:rsidP="006B2AFD">
      <w:pPr>
        <w:spacing w:after="0" w:line="360" w:lineRule="auto"/>
        <w:ind w:left="5387"/>
        <w:contextualSpacing/>
        <w:rPr>
          <w:sz w:val="20"/>
          <w:szCs w:val="20"/>
        </w:rPr>
      </w:pPr>
    </w:p>
    <w:p w14:paraId="46C3DCBE" w14:textId="63E0B9D6" w:rsidR="00C05475" w:rsidRDefault="00A10228" w:rsidP="006B2AFD">
      <w:pPr>
        <w:spacing w:after="0" w:line="360" w:lineRule="auto"/>
        <w:ind w:left="5387"/>
        <w:contextualSpacing/>
        <w:rPr>
          <w:sz w:val="20"/>
          <w:szCs w:val="20"/>
        </w:rPr>
      </w:pPr>
      <w:r>
        <w:rPr>
          <w:noProof/>
          <w:sz w:val="20"/>
          <w:szCs w:val="20"/>
        </w:rPr>
        <w:drawing>
          <wp:anchor distT="0" distB="0" distL="114300" distR="114300" simplePos="0" relativeHeight="251661312" behindDoc="0" locked="0" layoutInCell="1" allowOverlap="1" wp14:anchorId="16B2F18B" wp14:editId="48A4DC0E">
            <wp:simplePos x="0" y="0"/>
            <wp:positionH relativeFrom="column">
              <wp:posOffset>13022</wp:posOffset>
            </wp:positionH>
            <wp:positionV relativeFrom="paragraph">
              <wp:posOffset>198120</wp:posOffset>
            </wp:positionV>
            <wp:extent cx="3231515" cy="2154555"/>
            <wp:effectExtent l="0" t="0" r="6985" b="0"/>
            <wp:wrapThrough wrapText="bothSides">
              <wp:wrapPolygon edited="0">
                <wp:start x="0" y="0"/>
                <wp:lineTo x="0" y="21390"/>
                <wp:lineTo x="21519" y="21390"/>
                <wp:lineTo x="21519" y="0"/>
                <wp:lineTo x="0" y="0"/>
              </wp:wrapPolygon>
            </wp:wrapThrough>
            <wp:docPr id="5" name="Grafik 5" descr="C:\Users\Z003HK3A\Desktop\Bilder\Signia-Nx_Motion Charge&amp;Go_man-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Bilder\Signia-Nx_Motion Charge&amp;Go_man-close-u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1515" cy="215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7E09D" w14:textId="28E0AA3D" w:rsidR="006B2AFD" w:rsidRDefault="006B2AFD" w:rsidP="006B2AFD">
      <w:pPr>
        <w:spacing w:after="0" w:line="360" w:lineRule="auto"/>
        <w:ind w:left="5387"/>
        <w:contextualSpacing/>
        <w:rPr>
          <w:sz w:val="20"/>
          <w:szCs w:val="20"/>
        </w:rPr>
      </w:pPr>
    </w:p>
    <w:p w14:paraId="0B38A5EB" w14:textId="1741D375" w:rsidR="006B2AFD" w:rsidRDefault="006B2AFD" w:rsidP="006B2AFD">
      <w:pPr>
        <w:spacing w:after="0" w:line="360" w:lineRule="auto"/>
        <w:ind w:left="5387"/>
        <w:contextualSpacing/>
        <w:rPr>
          <w:sz w:val="20"/>
          <w:szCs w:val="20"/>
        </w:rPr>
      </w:pPr>
    </w:p>
    <w:p w14:paraId="5359F3FD" w14:textId="77777777" w:rsidR="006B2AFD" w:rsidRDefault="006B2AFD" w:rsidP="006B2AFD">
      <w:pPr>
        <w:spacing w:after="0" w:line="360" w:lineRule="auto"/>
        <w:ind w:left="5387"/>
        <w:contextualSpacing/>
        <w:rPr>
          <w:sz w:val="20"/>
          <w:szCs w:val="20"/>
        </w:rPr>
      </w:pPr>
    </w:p>
    <w:p w14:paraId="6A39E2D1" w14:textId="77777777" w:rsidR="00C05475" w:rsidRDefault="00C05475" w:rsidP="006B2AFD">
      <w:pPr>
        <w:spacing w:after="0" w:line="360" w:lineRule="auto"/>
        <w:ind w:left="5387"/>
        <w:contextualSpacing/>
        <w:rPr>
          <w:sz w:val="20"/>
          <w:szCs w:val="20"/>
        </w:rPr>
      </w:pPr>
    </w:p>
    <w:p w14:paraId="61B8B969" w14:textId="62F849F3" w:rsidR="00C05475" w:rsidRDefault="00C05475" w:rsidP="006B2AFD">
      <w:pPr>
        <w:spacing w:after="0" w:line="360" w:lineRule="auto"/>
        <w:ind w:left="5387"/>
        <w:contextualSpacing/>
        <w:rPr>
          <w:sz w:val="20"/>
          <w:szCs w:val="20"/>
        </w:rPr>
      </w:pPr>
      <w:r w:rsidRPr="00F6787E">
        <w:rPr>
          <w:sz w:val="20"/>
          <w:szCs w:val="20"/>
        </w:rPr>
        <w:t>Motion</w:t>
      </w:r>
      <w:r w:rsidRPr="00F6787E">
        <w:rPr>
          <w:sz w:val="20"/>
          <w:szCs w:val="20"/>
          <w:vertAlign w:val="superscript"/>
        </w:rPr>
        <w:t xml:space="preserve"> </w:t>
      </w:r>
      <w:proofErr w:type="spellStart"/>
      <w:r w:rsidRPr="00F6787E">
        <w:rPr>
          <w:sz w:val="20"/>
          <w:szCs w:val="20"/>
        </w:rPr>
        <w:t>Charge&amp;Go</w:t>
      </w:r>
      <w:proofErr w:type="spellEnd"/>
      <w:r w:rsidRPr="00F6787E">
        <w:rPr>
          <w:sz w:val="20"/>
          <w:szCs w:val="20"/>
        </w:rPr>
        <w:t xml:space="preserve"> </w:t>
      </w:r>
      <w:proofErr w:type="spellStart"/>
      <w:r w:rsidRPr="00F6787E">
        <w:rPr>
          <w:sz w:val="20"/>
          <w:szCs w:val="20"/>
        </w:rPr>
        <w:t>Nx</w:t>
      </w:r>
      <w:proofErr w:type="spellEnd"/>
      <w:r w:rsidRPr="00F6787E">
        <w:rPr>
          <w:sz w:val="20"/>
          <w:szCs w:val="20"/>
        </w:rPr>
        <w:t xml:space="preserve"> </w:t>
      </w:r>
      <w:r>
        <w:rPr>
          <w:sz w:val="20"/>
          <w:szCs w:val="20"/>
        </w:rPr>
        <w:t xml:space="preserve">from the brand Signia </w:t>
      </w:r>
      <w:r w:rsidRPr="00F6787E">
        <w:rPr>
          <w:sz w:val="20"/>
          <w:szCs w:val="20"/>
        </w:rPr>
        <w:t xml:space="preserve">combines inductive </w:t>
      </w:r>
      <w:r>
        <w:rPr>
          <w:sz w:val="20"/>
          <w:szCs w:val="20"/>
        </w:rPr>
        <w:t>charging</w:t>
      </w:r>
      <w:r w:rsidRPr="00F6787E">
        <w:rPr>
          <w:sz w:val="20"/>
          <w:szCs w:val="20"/>
        </w:rPr>
        <w:t xml:space="preserve">, Own Voice Processing, Bluetooth connectivity and </w:t>
      </w:r>
      <w:proofErr w:type="spellStart"/>
      <w:r w:rsidRPr="00F6787E">
        <w:rPr>
          <w:sz w:val="20"/>
          <w:szCs w:val="20"/>
        </w:rPr>
        <w:t>TeleCare</w:t>
      </w:r>
      <w:proofErr w:type="spellEnd"/>
      <w:r w:rsidRPr="00F6787E">
        <w:rPr>
          <w:sz w:val="20"/>
          <w:szCs w:val="20"/>
        </w:rPr>
        <w:t xml:space="preserve"> in one device</w:t>
      </w:r>
      <w:r>
        <w:rPr>
          <w:sz w:val="20"/>
          <w:szCs w:val="20"/>
        </w:rPr>
        <w:t>.</w:t>
      </w:r>
      <w:r w:rsidRPr="00F6787E">
        <w:rPr>
          <w:sz w:val="20"/>
          <w:szCs w:val="20"/>
        </w:rPr>
        <w:t xml:space="preserve"> </w:t>
      </w:r>
    </w:p>
    <w:p w14:paraId="75B9E55C" w14:textId="77A3B432" w:rsidR="0025147E" w:rsidRPr="00F6787E" w:rsidRDefault="006B2AFD" w:rsidP="006B2AFD">
      <w:pPr>
        <w:spacing w:after="0" w:line="360" w:lineRule="auto"/>
        <w:ind w:left="5387"/>
        <w:contextualSpacing/>
      </w:pPr>
      <w:r>
        <w:rPr>
          <w:sz w:val="20"/>
          <w:szCs w:val="20"/>
        </w:rPr>
        <w:t>Copyright</w:t>
      </w:r>
      <w:r w:rsidR="00C05475">
        <w:rPr>
          <w:sz w:val="20"/>
          <w:szCs w:val="20"/>
        </w:rPr>
        <w:t>: Sivantos</w:t>
      </w:r>
    </w:p>
    <w:sectPr w:rsidR="0025147E" w:rsidRPr="00F6787E">
      <w:headerReference w:type="even" r:id="rId16"/>
      <w:headerReference w:type="default" r:id="rId17"/>
      <w:footerReference w:type="even" r:id="rId18"/>
      <w:footerReference w:type="default" r:id="rId19"/>
      <w:headerReference w:type="first" r:id="rId20"/>
      <w:footerReference w:type="first" r:id="rId21"/>
      <w:pgSz w:w="11906" w:h="16838"/>
      <w:pgMar w:top="1418" w:right="1985" w:bottom="1560"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94D3" w14:textId="77777777" w:rsidR="00A71460" w:rsidRDefault="00A71460">
      <w:pPr>
        <w:spacing w:after="0" w:line="240" w:lineRule="auto"/>
      </w:pPr>
      <w:r>
        <w:separator/>
      </w:r>
    </w:p>
  </w:endnote>
  <w:endnote w:type="continuationSeparator" w:id="0">
    <w:p w14:paraId="7B3231BC" w14:textId="77777777" w:rsidR="00A71460" w:rsidRDefault="00A7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85BD" w14:textId="77777777" w:rsidR="008A0BEE" w:rsidRDefault="008A0B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5219" w14:textId="6B5F128E" w:rsidR="00C858FD" w:rsidRDefault="00895DBD">
    <w:pPr>
      <w:tabs>
        <w:tab w:val="center" w:pos="4536"/>
        <w:tab w:val="right" w:pos="9072"/>
      </w:tabs>
      <w:spacing w:after="0" w:line="240" w:lineRule="auto"/>
      <w:jc w:val="right"/>
    </w:pPr>
    <w:r>
      <w:fldChar w:fldCharType="begin"/>
    </w:r>
    <w:r>
      <w:instrText>PAGE</w:instrText>
    </w:r>
    <w:r>
      <w:fldChar w:fldCharType="separate"/>
    </w:r>
    <w:r w:rsidR="005F23A4">
      <w:rPr>
        <w:noProof/>
      </w:rPr>
      <w:t>4</w:t>
    </w:r>
    <w:r>
      <w:fldChar w:fldCharType="end"/>
    </w:r>
    <w:r w:rsidR="00D35219">
      <w:t>/</w:t>
    </w:r>
    <w:r w:rsidR="000B3085">
      <w:t>3</w:t>
    </w:r>
  </w:p>
  <w:p w14:paraId="16845022" w14:textId="613B455A" w:rsidR="00D35219" w:rsidRPr="00A22CBF" w:rsidRDefault="00004368" w:rsidP="00A22CBF">
    <w:pPr>
      <w:tabs>
        <w:tab w:val="center" w:pos="4536"/>
        <w:tab w:val="right" w:pos="9072"/>
      </w:tabs>
      <w:spacing w:after="120" w:line="240" w:lineRule="auto"/>
      <w:ind w:right="360"/>
      <w:rPr>
        <w:b/>
        <w:sz w:val="16"/>
        <w:szCs w:val="16"/>
      </w:rPr>
    </w:pPr>
    <w:r w:rsidRPr="00A22CBF">
      <w:rPr>
        <w:b/>
        <w:sz w:val="16"/>
        <w:szCs w:val="16"/>
      </w:rPr>
      <w:t>Sivantos Group</w:t>
    </w:r>
  </w:p>
  <w:p w14:paraId="6D02F1DB" w14:textId="2A2CBC9F" w:rsidR="00004368" w:rsidRDefault="00004368" w:rsidP="00A22CBF">
    <w:pPr>
      <w:tabs>
        <w:tab w:val="center" w:pos="4536"/>
        <w:tab w:val="right" w:pos="9072"/>
      </w:tabs>
      <w:spacing w:after="120" w:line="240" w:lineRule="auto"/>
      <w:ind w:right="360"/>
      <w:rPr>
        <w:sz w:val="16"/>
        <w:szCs w:val="16"/>
      </w:rPr>
    </w:pPr>
    <w:r w:rsidRPr="00A22CBF">
      <w:rPr>
        <w:sz w:val="16"/>
        <w:szCs w:val="16"/>
      </w:rPr>
      <w:t>Corporate</w:t>
    </w:r>
    <w:r w:rsidR="008A0BEE">
      <w:rPr>
        <w:sz w:val="16"/>
        <w:szCs w:val="16"/>
      </w:rPr>
      <w:t xml:space="preserve"> Communications</w:t>
    </w:r>
  </w:p>
  <w:p w14:paraId="1C59425B" w14:textId="4FE28832" w:rsidR="00004368" w:rsidRPr="00A22CBF" w:rsidRDefault="00004368" w:rsidP="00A22CBF">
    <w:pPr>
      <w:tabs>
        <w:tab w:val="center" w:pos="4536"/>
        <w:tab w:val="right" w:pos="9072"/>
      </w:tabs>
      <w:spacing w:after="120" w:line="240" w:lineRule="auto"/>
      <w:ind w:right="360"/>
      <w:rPr>
        <w:sz w:val="16"/>
        <w:szCs w:val="16"/>
      </w:rPr>
    </w:pPr>
    <w:r>
      <w:rPr>
        <w:sz w:val="16"/>
        <w:szCs w:val="16"/>
      </w:rPr>
      <w:t xml:space="preserve">Reference number: </w:t>
    </w:r>
    <w:r w:rsidR="008A0BEE">
      <w:rPr>
        <w:sz w:val="16"/>
        <w:szCs w:val="16"/>
      </w:rPr>
      <w:t>6</w:t>
    </w:r>
    <w:r w:rsidR="00D35219">
      <w:rPr>
        <w:sz w:val="16"/>
        <w:szCs w:val="16"/>
      </w:rPr>
      <w:t>/201</w:t>
    </w:r>
    <w:r w:rsidR="003B6F54">
      <w:rPr>
        <w:sz w:val="16"/>
        <w:szCs w:val="16"/>
      </w:rPr>
      <w:t>8</w:t>
    </w:r>
    <w:r w:rsidR="00D35219">
      <w:rPr>
        <w:sz w:val="16"/>
        <w:szCs w:val="16"/>
      </w:rPr>
      <w:t>/</w:t>
    </w:r>
    <w:proofErr w:type="spellStart"/>
    <w:r w:rsidR="00D35219">
      <w:rPr>
        <w:sz w:val="16"/>
        <w:szCs w:val="16"/>
      </w:rPr>
      <w:t>tp</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DFB1" w14:textId="77777777" w:rsidR="008A0BEE" w:rsidRDefault="008A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EEC5" w14:textId="77777777" w:rsidR="00A71460" w:rsidRDefault="00A71460">
      <w:pPr>
        <w:spacing w:after="0" w:line="240" w:lineRule="auto"/>
      </w:pPr>
      <w:r>
        <w:separator/>
      </w:r>
    </w:p>
  </w:footnote>
  <w:footnote w:type="continuationSeparator" w:id="0">
    <w:p w14:paraId="3EE2FF67" w14:textId="77777777" w:rsidR="00A71460" w:rsidRDefault="00A7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660A" w14:textId="77777777" w:rsidR="008A0BEE" w:rsidRDefault="008A0B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767B" w14:textId="77777777" w:rsidR="008A0BEE" w:rsidRDefault="008A0B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F301" w14:textId="77777777" w:rsidR="008A0BEE" w:rsidRDefault="008A0B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55709"/>
    <w:multiLevelType w:val="multilevel"/>
    <w:tmpl w:val="57027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D5B045E"/>
    <w:multiLevelType w:val="hybridMultilevel"/>
    <w:tmpl w:val="66DED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D"/>
    <w:rsid w:val="00001A95"/>
    <w:rsid w:val="00002642"/>
    <w:rsid w:val="0000324F"/>
    <w:rsid w:val="00004368"/>
    <w:rsid w:val="000113FE"/>
    <w:rsid w:val="0001241E"/>
    <w:rsid w:val="00013448"/>
    <w:rsid w:val="00023039"/>
    <w:rsid w:val="00025544"/>
    <w:rsid w:val="00032D42"/>
    <w:rsid w:val="000334B9"/>
    <w:rsid w:val="00033576"/>
    <w:rsid w:val="00045B7A"/>
    <w:rsid w:val="00046C25"/>
    <w:rsid w:val="00051288"/>
    <w:rsid w:val="000641FF"/>
    <w:rsid w:val="00065916"/>
    <w:rsid w:val="00067694"/>
    <w:rsid w:val="00072007"/>
    <w:rsid w:val="00094669"/>
    <w:rsid w:val="00095F1B"/>
    <w:rsid w:val="00097657"/>
    <w:rsid w:val="000B3085"/>
    <w:rsid w:val="000B5F1A"/>
    <w:rsid w:val="000C50C4"/>
    <w:rsid w:val="000D4569"/>
    <w:rsid w:val="000D7B17"/>
    <w:rsid w:val="000E1B8E"/>
    <w:rsid w:val="000E3192"/>
    <w:rsid w:val="000F12BD"/>
    <w:rsid w:val="000F3ACC"/>
    <w:rsid w:val="000F676D"/>
    <w:rsid w:val="000F6E13"/>
    <w:rsid w:val="00104FEF"/>
    <w:rsid w:val="00106BA3"/>
    <w:rsid w:val="00115C00"/>
    <w:rsid w:val="00117489"/>
    <w:rsid w:val="00121B23"/>
    <w:rsid w:val="00130F3C"/>
    <w:rsid w:val="00134290"/>
    <w:rsid w:val="00136454"/>
    <w:rsid w:val="001369E7"/>
    <w:rsid w:val="00137ED2"/>
    <w:rsid w:val="0014082A"/>
    <w:rsid w:val="00144022"/>
    <w:rsid w:val="0014621D"/>
    <w:rsid w:val="001462C1"/>
    <w:rsid w:val="00150063"/>
    <w:rsid w:val="0015150B"/>
    <w:rsid w:val="0015188E"/>
    <w:rsid w:val="00161FE7"/>
    <w:rsid w:val="00165E8F"/>
    <w:rsid w:val="00173AB7"/>
    <w:rsid w:val="00174D8C"/>
    <w:rsid w:val="00181C3A"/>
    <w:rsid w:val="00182124"/>
    <w:rsid w:val="00185521"/>
    <w:rsid w:val="00187485"/>
    <w:rsid w:val="00191DEC"/>
    <w:rsid w:val="001956E1"/>
    <w:rsid w:val="001A4095"/>
    <w:rsid w:val="001A7F5E"/>
    <w:rsid w:val="001B4F94"/>
    <w:rsid w:val="001C0ED0"/>
    <w:rsid w:val="001D5050"/>
    <w:rsid w:val="001D6AA7"/>
    <w:rsid w:val="001E26A6"/>
    <w:rsid w:val="001E734B"/>
    <w:rsid w:val="001F1D6E"/>
    <w:rsid w:val="001F1DE0"/>
    <w:rsid w:val="001F4F31"/>
    <w:rsid w:val="001F69AB"/>
    <w:rsid w:val="002032BC"/>
    <w:rsid w:val="0021545D"/>
    <w:rsid w:val="00216EB2"/>
    <w:rsid w:val="00221292"/>
    <w:rsid w:val="0022234B"/>
    <w:rsid w:val="00226EEE"/>
    <w:rsid w:val="002329AA"/>
    <w:rsid w:val="00237563"/>
    <w:rsid w:val="002442F4"/>
    <w:rsid w:val="00246A73"/>
    <w:rsid w:val="0025147E"/>
    <w:rsid w:val="00252A3A"/>
    <w:rsid w:val="00257831"/>
    <w:rsid w:val="00264D98"/>
    <w:rsid w:val="00264DB8"/>
    <w:rsid w:val="00265F16"/>
    <w:rsid w:val="00271E09"/>
    <w:rsid w:val="00275894"/>
    <w:rsid w:val="00280750"/>
    <w:rsid w:val="00282BFD"/>
    <w:rsid w:val="00285378"/>
    <w:rsid w:val="00293E52"/>
    <w:rsid w:val="002A172F"/>
    <w:rsid w:val="002B5445"/>
    <w:rsid w:val="002C5CA6"/>
    <w:rsid w:val="002D037E"/>
    <w:rsid w:val="002D45E6"/>
    <w:rsid w:val="002E03E1"/>
    <w:rsid w:val="002E42AB"/>
    <w:rsid w:val="002E42E3"/>
    <w:rsid w:val="002F3252"/>
    <w:rsid w:val="002F3E5B"/>
    <w:rsid w:val="002F4DD5"/>
    <w:rsid w:val="0030415D"/>
    <w:rsid w:val="00304782"/>
    <w:rsid w:val="00310AA6"/>
    <w:rsid w:val="00315DBA"/>
    <w:rsid w:val="00326489"/>
    <w:rsid w:val="003270B5"/>
    <w:rsid w:val="00333D67"/>
    <w:rsid w:val="003357B5"/>
    <w:rsid w:val="0033682A"/>
    <w:rsid w:val="00344780"/>
    <w:rsid w:val="00351A83"/>
    <w:rsid w:val="00355321"/>
    <w:rsid w:val="003564B1"/>
    <w:rsid w:val="0036078C"/>
    <w:rsid w:val="00377DED"/>
    <w:rsid w:val="003802B5"/>
    <w:rsid w:val="00380506"/>
    <w:rsid w:val="003856C0"/>
    <w:rsid w:val="00393A18"/>
    <w:rsid w:val="00393CCA"/>
    <w:rsid w:val="0039681D"/>
    <w:rsid w:val="003A1C13"/>
    <w:rsid w:val="003A2C08"/>
    <w:rsid w:val="003A6032"/>
    <w:rsid w:val="003B278F"/>
    <w:rsid w:val="003B479B"/>
    <w:rsid w:val="003B50A4"/>
    <w:rsid w:val="003B6F54"/>
    <w:rsid w:val="003C23C1"/>
    <w:rsid w:val="003C2F34"/>
    <w:rsid w:val="003C3EAD"/>
    <w:rsid w:val="003C498A"/>
    <w:rsid w:val="003C7BFE"/>
    <w:rsid w:val="003F230D"/>
    <w:rsid w:val="00400E41"/>
    <w:rsid w:val="00403D0A"/>
    <w:rsid w:val="004223E8"/>
    <w:rsid w:val="00425DD5"/>
    <w:rsid w:val="00431B9E"/>
    <w:rsid w:val="0043435D"/>
    <w:rsid w:val="00437689"/>
    <w:rsid w:val="00444725"/>
    <w:rsid w:val="00450A92"/>
    <w:rsid w:val="00451A7C"/>
    <w:rsid w:val="00454366"/>
    <w:rsid w:val="00455425"/>
    <w:rsid w:val="00455897"/>
    <w:rsid w:val="00455CF8"/>
    <w:rsid w:val="00456D0D"/>
    <w:rsid w:val="00461DF0"/>
    <w:rsid w:val="00465846"/>
    <w:rsid w:val="00473FD1"/>
    <w:rsid w:val="0048024A"/>
    <w:rsid w:val="004818E2"/>
    <w:rsid w:val="004838DF"/>
    <w:rsid w:val="00486FDC"/>
    <w:rsid w:val="00490541"/>
    <w:rsid w:val="004913E6"/>
    <w:rsid w:val="00492CE2"/>
    <w:rsid w:val="004A0108"/>
    <w:rsid w:val="004A1DB9"/>
    <w:rsid w:val="004A1E0D"/>
    <w:rsid w:val="004B6D31"/>
    <w:rsid w:val="004B74DC"/>
    <w:rsid w:val="004D023F"/>
    <w:rsid w:val="004E03C9"/>
    <w:rsid w:val="004E0CA8"/>
    <w:rsid w:val="004E1451"/>
    <w:rsid w:val="004E428D"/>
    <w:rsid w:val="004F0D22"/>
    <w:rsid w:val="004F6626"/>
    <w:rsid w:val="00506624"/>
    <w:rsid w:val="0051650A"/>
    <w:rsid w:val="00523650"/>
    <w:rsid w:val="005303FB"/>
    <w:rsid w:val="005337A4"/>
    <w:rsid w:val="00535B8A"/>
    <w:rsid w:val="0055136B"/>
    <w:rsid w:val="00552639"/>
    <w:rsid w:val="00552AA6"/>
    <w:rsid w:val="0055525C"/>
    <w:rsid w:val="0057307F"/>
    <w:rsid w:val="005735E4"/>
    <w:rsid w:val="00581A30"/>
    <w:rsid w:val="005835C8"/>
    <w:rsid w:val="00586149"/>
    <w:rsid w:val="00591E54"/>
    <w:rsid w:val="00592172"/>
    <w:rsid w:val="00594C2A"/>
    <w:rsid w:val="00596544"/>
    <w:rsid w:val="00597052"/>
    <w:rsid w:val="005974BF"/>
    <w:rsid w:val="005A669F"/>
    <w:rsid w:val="005B3318"/>
    <w:rsid w:val="005C2C0A"/>
    <w:rsid w:val="005D06C6"/>
    <w:rsid w:val="005D1AF6"/>
    <w:rsid w:val="005D6095"/>
    <w:rsid w:val="005E2536"/>
    <w:rsid w:val="005E3FC0"/>
    <w:rsid w:val="005E6614"/>
    <w:rsid w:val="005F16E3"/>
    <w:rsid w:val="005F20EC"/>
    <w:rsid w:val="005F23A4"/>
    <w:rsid w:val="005F7523"/>
    <w:rsid w:val="006071B3"/>
    <w:rsid w:val="00614336"/>
    <w:rsid w:val="006269FA"/>
    <w:rsid w:val="0063211A"/>
    <w:rsid w:val="00633DD5"/>
    <w:rsid w:val="006342F7"/>
    <w:rsid w:val="006352A9"/>
    <w:rsid w:val="00643F59"/>
    <w:rsid w:val="00650C04"/>
    <w:rsid w:val="00651E86"/>
    <w:rsid w:val="00656E73"/>
    <w:rsid w:val="006677FB"/>
    <w:rsid w:val="0067722F"/>
    <w:rsid w:val="00680A0B"/>
    <w:rsid w:val="006837D3"/>
    <w:rsid w:val="00690017"/>
    <w:rsid w:val="00690EC6"/>
    <w:rsid w:val="00691F44"/>
    <w:rsid w:val="00692001"/>
    <w:rsid w:val="00693D2A"/>
    <w:rsid w:val="006957B4"/>
    <w:rsid w:val="006A1EF9"/>
    <w:rsid w:val="006A381C"/>
    <w:rsid w:val="006B09D7"/>
    <w:rsid w:val="006B2AFD"/>
    <w:rsid w:val="006C2CF8"/>
    <w:rsid w:val="006C35E2"/>
    <w:rsid w:val="006D1C30"/>
    <w:rsid w:val="006E31B9"/>
    <w:rsid w:val="006F1655"/>
    <w:rsid w:val="006F4D1B"/>
    <w:rsid w:val="006F7A66"/>
    <w:rsid w:val="00707283"/>
    <w:rsid w:val="007078EB"/>
    <w:rsid w:val="0071260D"/>
    <w:rsid w:val="00715781"/>
    <w:rsid w:val="00723116"/>
    <w:rsid w:val="00726085"/>
    <w:rsid w:val="00726D70"/>
    <w:rsid w:val="00726DD6"/>
    <w:rsid w:val="0073556B"/>
    <w:rsid w:val="00736ACC"/>
    <w:rsid w:val="007556B5"/>
    <w:rsid w:val="00756435"/>
    <w:rsid w:val="00760CEC"/>
    <w:rsid w:val="007613DE"/>
    <w:rsid w:val="00765658"/>
    <w:rsid w:val="00766D41"/>
    <w:rsid w:val="007705F8"/>
    <w:rsid w:val="007768C5"/>
    <w:rsid w:val="007775C9"/>
    <w:rsid w:val="0077781D"/>
    <w:rsid w:val="00784966"/>
    <w:rsid w:val="00785533"/>
    <w:rsid w:val="007959B6"/>
    <w:rsid w:val="007A1E71"/>
    <w:rsid w:val="007A7EEA"/>
    <w:rsid w:val="007B6EEE"/>
    <w:rsid w:val="007C111C"/>
    <w:rsid w:val="007C49BA"/>
    <w:rsid w:val="007D21C4"/>
    <w:rsid w:val="007D2332"/>
    <w:rsid w:val="007E4CC9"/>
    <w:rsid w:val="007F71D7"/>
    <w:rsid w:val="008042B6"/>
    <w:rsid w:val="00810240"/>
    <w:rsid w:val="00813D82"/>
    <w:rsid w:val="00815553"/>
    <w:rsid w:val="00815AC1"/>
    <w:rsid w:val="00822F4D"/>
    <w:rsid w:val="00824A98"/>
    <w:rsid w:val="008273A8"/>
    <w:rsid w:val="00830747"/>
    <w:rsid w:val="0083245E"/>
    <w:rsid w:val="00833F11"/>
    <w:rsid w:val="00847F48"/>
    <w:rsid w:val="00855EB8"/>
    <w:rsid w:val="00862F9E"/>
    <w:rsid w:val="00866AE2"/>
    <w:rsid w:val="00871AC4"/>
    <w:rsid w:val="008730C0"/>
    <w:rsid w:val="008760A2"/>
    <w:rsid w:val="00881BC1"/>
    <w:rsid w:val="00885301"/>
    <w:rsid w:val="00885A3A"/>
    <w:rsid w:val="00894FC3"/>
    <w:rsid w:val="00895DBD"/>
    <w:rsid w:val="008A0BEE"/>
    <w:rsid w:val="008A23E1"/>
    <w:rsid w:val="008B1200"/>
    <w:rsid w:val="008B2A65"/>
    <w:rsid w:val="008C4A51"/>
    <w:rsid w:val="008C4B3F"/>
    <w:rsid w:val="008D02A7"/>
    <w:rsid w:val="008D5DD2"/>
    <w:rsid w:val="008E3E40"/>
    <w:rsid w:val="008E79F3"/>
    <w:rsid w:val="008F40A5"/>
    <w:rsid w:val="00902B49"/>
    <w:rsid w:val="00910A4C"/>
    <w:rsid w:val="009211EB"/>
    <w:rsid w:val="00921C72"/>
    <w:rsid w:val="00933D2C"/>
    <w:rsid w:val="0093476E"/>
    <w:rsid w:val="0093572D"/>
    <w:rsid w:val="00937B83"/>
    <w:rsid w:val="009404E3"/>
    <w:rsid w:val="00944590"/>
    <w:rsid w:val="009445C0"/>
    <w:rsid w:val="00945DAF"/>
    <w:rsid w:val="009460CE"/>
    <w:rsid w:val="00954BEE"/>
    <w:rsid w:val="00954F51"/>
    <w:rsid w:val="00956F95"/>
    <w:rsid w:val="0096084A"/>
    <w:rsid w:val="00975CEA"/>
    <w:rsid w:val="009764F3"/>
    <w:rsid w:val="009811FC"/>
    <w:rsid w:val="00983E48"/>
    <w:rsid w:val="0098579D"/>
    <w:rsid w:val="009867FF"/>
    <w:rsid w:val="00992C56"/>
    <w:rsid w:val="009A7650"/>
    <w:rsid w:val="009B2D35"/>
    <w:rsid w:val="009B31C1"/>
    <w:rsid w:val="009C5A05"/>
    <w:rsid w:val="009C6092"/>
    <w:rsid w:val="009D303D"/>
    <w:rsid w:val="009D6EFA"/>
    <w:rsid w:val="009E2361"/>
    <w:rsid w:val="009F5B31"/>
    <w:rsid w:val="009F68E1"/>
    <w:rsid w:val="00A015E5"/>
    <w:rsid w:val="00A060F8"/>
    <w:rsid w:val="00A10228"/>
    <w:rsid w:val="00A1085F"/>
    <w:rsid w:val="00A11D8C"/>
    <w:rsid w:val="00A13838"/>
    <w:rsid w:val="00A138CC"/>
    <w:rsid w:val="00A147D4"/>
    <w:rsid w:val="00A22CBF"/>
    <w:rsid w:val="00A2554B"/>
    <w:rsid w:val="00A36289"/>
    <w:rsid w:val="00A44906"/>
    <w:rsid w:val="00A46E82"/>
    <w:rsid w:val="00A52370"/>
    <w:rsid w:val="00A5443C"/>
    <w:rsid w:val="00A617F5"/>
    <w:rsid w:val="00A6223F"/>
    <w:rsid w:val="00A6370F"/>
    <w:rsid w:val="00A64731"/>
    <w:rsid w:val="00A71460"/>
    <w:rsid w:val="00A77384"/>
    <w:rsid w:val="00A84773"/>
    <w:rsid w:val="00A94866"/>
    <w:rsid w:val="00AA119E"/>
    <w:rsid w:val="00AA458E"/>
    <w:rsid w:val="00AA7767"/>
    <w:rsid w:val="00AB40A8"/>
    <w:rsid w:val="00AB5537"/>
    <w:rsid w:val="00AC5356"/>
    <w:rsid w:val="00AD1FDA"/>
    <w:rsid w:val="00AE56A5"/>
    <w:rsid w:val="00AF0F90"/>
    <w:rsid w:val="00AF247F"/>
    <w:rsid w:val="00B00644"/>
    <w:rsid w:val="00B04DCD"/>
    <w:rsid w:val="00B10243"/>
    <w:rsid w:val="00B11996"/>
    <w:rsid w:val="00B1269D"/>
    <w:rsid w:val="00B24F98"/>
    <w:rsid w:val="00B27B81"/>
    <w:rsid w:val="00B33B67"/>
    <w:rsid w:val="00B3794E"/>
    <w:rsid w:val="00B4002F"/>
    <w:rsid w:val="00B422F0"/>
    <w:rsid w:val="00B50A2B"/>
    <w:rsid w:val="00B6014B"/>
    <w:rsid w:val="00B75AB9"/>
    <w:rsid w:val="00B8020D"/>
    <w:rsid w:val="00B80539"/>
    <w:rsid w:val="00B80700"/>
    <w:rsid w:val="00B80C13"/>
    <w:rsid w:val="00B80D8D"/>
    <w:rsid w:val="00B82419"/>
    <w:rsid w:val="00B84BA5"/>
    <w:rsid w:val="00B86BCE"/>
    <w:rsid w:val="00B86EA5"/>
    <w:rsid w:val="00B94097"/>
    <w:rsid w:val="00B97238"/>
    <w:rsid w:val="00BA4226"/>
    <w:rsid w:val="00BB1BBE"/>
    <w:rsid w:val="00BB1E5B"/>
    <w:rsid w:val="00BC0188"/>
    <w:rsid w:val="00BD34AC"/>
    <w:rsid w:val="00BE00C1"/>
    <w:rsid w:val="00BE2CE3"/>
    <w:rsid w:val="00BE3A49"/>
    <w:rsid w:val="00BF482A"/>
    <w:rsid w:val="00C05475"/>
    <w:rsid w:val="00C07309"/>
    <w:rsid w:val="00C07919"/>
    <w:rsid w:val="00C13CE1"/>
    <w:rsid w:val="00C20183"/>
    <w:rsid w:val="00C3019F"/>
    <w:rsid w:val="00C45370"/>
    <w:rsid w:val="00C55BDF"/>
    <w:rsid w:val="00C643FD"/>
    <w:rsid w:val="00C64BF7"/>
    <w:rsid w:val="00C657A4"/>
    <w:rsid w:val="00C670D7"/>
    <w:rsid w:val="00C712B1"/>
    <w:rsid w:val="00C732F8"/>
    <w:rsid w:val="00C73538"/>
    <w:rsid w:val="00C858FD"/>
    <w:rsid w:val="00C8608F"/>
    <w:rsid w:val="00C92EFE"/>
    <w:rsid w:val="00C9319E"/>
    <w:rsid w:val="00C9709C"/>
    <w:rsid w:val="00CA0A7F"/>
    <w:rsid w:val="00CA478D"/>
    <w:rsid w:val="00CC301E"/>
    <w:rsid w:val="00CC71B0"/>
    <w:rsid w:val="00CE1514"/>
    <w:rsid w:val="00CE2802"/>
    <w:rsid w:val="00CE697C"/>
    <w:rsid w:val="00CE6B87"/>
    <w:rsid w:val="00CF05E6"/>
    <w:rsid w:val="00CF18A8"/>
    <w:rsid w:val="00CF3888"/>
    <w:rsid w:val="00CF41D1"/>
    <w:rsid w:val="00CF6DEF"/>
    <w:rsid w:val="00D02168"/>
    <w:rsid w:val="00D05F16"/>
    <w:rsid w:val="00D07798"/>
    <w:rsid w:val="00D21613"/>
    <w:rsid w:val="00D22419"/>
    <w:rsid w:val="00D230D7"/>
    <w:rsid w:val="00D231A9"/>
    <w:rsid w:val="00D26100"/>
    <w:rsid w:val="00D35219"/>
    <w:rsid w:val="00D37811"/>
    <w:rsid w:val="00D37C06"/>
    <w:rsid w:val="00D43898"/>
    <w:rsid w:val="00D44261"/>
    <w:rsid w:val="00D572E7"/>
    <w:rsid w:val="00D65A36"/>
    <w:rsid w:val="00D75769"/>
    <w:rsid w:val="00D809E5"/>
    <w:rsid w:val="00D81862"/>
    <w:rsid w:val="00D851BE"/>
    <w:rsid w:val="00D90DA1"/>
    <w:rsid w:val="00DA1D18"/>
    <w:rsid w:val="00DA705C"/>
    <w:rsid w:val="00DA79F5"/>
    <w:rsid w:val="00DB1764"/>
    <w:rsid w:val="00DC3267"/>
    <w:rsid w:val="00DD2716"/>
    <w:rsid w:val="00DD741F"/>
    <w:rsid w:val="00DE5D00"/>
    <w:rsid w:val="00DF0359"/>
    <w:rsid w:val="00DF2B94"/>
    <w:rsid w:val="00DF3A61"/>
    <w:rsid w:val="00DF4D5E"/>
    <w:rsid w:val="00DF791D"/>
    <w:rsid w:val="00E165E1"/>
    <w:rsid w:val="00E21B76"/>
    <w:rsid w:val="00E25510"/>
    <w:rsid w:val="00E26B40"/>
    <w:rsid w:val="00E338A4"/>
    <w:rsid w:val="00E3618C"/>
    <w:rsid w:val="00E43C6F"/>
    <w:rsid w:val="00E43E49"/>
    <w:rsid w:val="00E51E5A"/>
    <w:rsid w:val="00E52CA2"/>
    <w:rsid w:val="00E557C2"/>
    <w:rsid w:val="00E6642B"/>
    <w:rsid w:val="00E66D4B"/>
    <w:rsid w:val="00E670F0"/>
    <w:rsid w:val="00E671B2"/>
    <w:rsid w:val="00E741E9"/>
    <w:rsid w:val="00E74B1D"/>
    <w:rsid w:val="00E861DF"/>
    <w:rsid w:val="00E86FFE"/>
    <w:rsid w:val="00E959E6"/>
    <w:rsid w:val="00EA6C56"/>
    <w:rsid w:val="00EB0DCD"/>
    <w:rsid w:val="00EB1348"/>
    <w:rsid w:val="00EB3A51"/>
    <w:rsid w:val="00EB7DF5"/>
    <w:rsid w:val="00EC3C8F"/>
    <w:rsid w:val="00EC4AA9"/>
    <w:rsid w:val="00ED2478"/>
    <w:rsid w:val="00ED3C0C"/>
    <w:rsid w:val="00ED46BC"/>
    <w:rsid w:val="00ED7379"/>
    <w:rsid w:val="00EE131C"/>
    <w:rsid w:val="00EE40C1"/>
    <w:rsid w:val="00EE6CB0"/>
    <w:rsid w:val="00F0506D"/>
    <w:rsid w:val="00F06A9A"/>
    <w:rsid w:val="00F21561"/>
    <w:rsid w:val="00F271AB"/>
    <w:rsid w:val="00F401BF"/>
    <w:rsid w:val="00F44635"/>
    <w:rsid w:val="00F5133C"/>
    <w:rsid w:val="00F627CB"/>
    <w:rsid w:val="00F6787E"/>
    <w:rsid w:val="00F67F72"/>
    <w:rsid w:val="00F706FD"/>
    <w:rsid w:val="00F730E8"/>
    <w:rsid w:val="00F7461F"/>
    <w:rsid w:val="00F84603"/>
    <w:rsid w:val="00FA0AE6"/>
    <w:rsid w:val="00FA191A"/>
    <w:rsid w:val="00FB49D1"/>
    <w:rsid w:val="00FC1293"/>
    <w:rsid w:val="00FC50AA"/>
    <w:rsid w:val="00FD54C3"/>
    <w:rsid w:val="00FF0056"/>
    <w:rsid w:val="00FF0858"/>
    <w:rsid w:val="00FF4621"/>
    <w:rsid w:val="00FF5D81"/>
    <w:rsid w:val="00FF734E"/>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69474"/>
  <w15:docId w15:val="{1FA5376D-9255-459B-9851-A290303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40" w:after="0"/>
      <w:contextualSpacing/>
      <w:outlineLvl w:val="1"/>
    </w:pPr>
    <w:rPr>
      <w:rFonts w:ascii="Cambria" w:eastAsia="Cambria" w:hAnsi="Cambria" w:cs="Cambria"/>
      <w:b/>
      <w:color w:val="366091"/>
      <w:sz w:val="26"/>
      <w:szCs w:val="2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160"/>
      <w:contextualSpacing/>
    </w:pPr>
    <w:rPr>
      <w:rFonts w:ascii="Calibri" w:eastAsia="Calibri" w:hAnsi="Calibri" w:cs="Calibri"/>
      <w:i/>
      <w:color w:val="5A5A5A"/>
      <w:sz w:val="48"/>
      <w:szCs w:val="48"/>
    </w:rPr>
  </w:style>
  <w:style w:type="table" w:customStyle="1" w:styleId="a">
    <w:basedOn w:val="NormaleTabelle"/>
    <w:tblPr>
      <w:tblStyleRowBandSize w:val="1"/>
      <w:tblStyleColBandSize w:val="1"/>
      <w:tblCellMar>
        <w:left w:w="0" w:type="dxa"/>
        <w:right w:w="0" w:type="dxa"/>
      </w:tblCellMar>
    </w:tblPr>
  </w:style>
  <w:style w:type="paragraph" w:styleId="Sprechblasentext">
    <w:name w:val="Balloon Text"/>
    <w:basedOn w:val="Standard"/>
    <w:link w:val="SprechblasentextZchn"/>
    <w:uiPriority w:val="99"/>
    <w:semiHidden/>
    <w:unhideWhenUsed/>
    <w:rsid w:val="00C55B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BDF"/>
    <w:rPr>
      <w:rFonts w:ascii="Segoe UI" w:hAnsi="Segoe UI" w:cs="Segoe UI"/>
      <w:sz w:val="18"/>
      <w:szCs w:val="18"/>
    </w:rPr>
  </w:style>
  <w:style w:type="character" w:styleId="Kommentarzeichen">
    <w:name w:val="annotation reference"/>
    <w:basedOn w:val="Absatz-Standardschriftart"/>
    <w:uiPriority w:val="99"/>
    <w:semiHidden/>
    <w:unhideWhenUsed/>
    <w:rsid w:val="00C55BDF"/>
    <w:rPr>
      <w:sz w:val="16"/>
      <w:szCs w:val="16"/>
    </w:rPr>
  </w:style>
  <w:style w:type="paragraph" w:styleId="Kommentartext">
    <w:name w:val="annotation text"/>
    <w:basedOn w:val="Standard"/>
    <w:link w:val="KommentartextZchn"/>
    <w:uiPriority w:val="99"/>
    <w:semiHidden/>
    <w:unhideWhenUsed/>
    <w:rsid w:val="00C55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5BDF"/>
    <w:rPr>
      <w:sz w:val="20"/>
      <w:szCs w:val="20"/>
    </w:rPr>
  </w:style>
  <w:style w:type="paragraph" w:styleId="Kommentarthema">
    <w:name w:val="annotation subject"/>
    <w:basedOn w:val="Kommentartext"/>
    <w:next w:val="Kommentartext"/>
    <w:link w:val="KommentarthemaZchn"/>
    <w:uiPriority w:val="99"/>
    <w:semiHidden/>
    <w:unhideWhenUsed/>
    <w:rsid w:val="00C55BDF"/>
    <w:rPr>
      <w:b/>
      <w:bCs/>
    </w:rPr>
  </w:style>
  <w:style w:type="character" w:customStyle="1" w:styleId="KommentarthemaZchn">
    <w:name w:val="Kommentarthema Zchn"/>
    <w:basedOn w:val="KommentartextZchn"/>
    <w:link w:val="Kommentarthema"/>
    <w:uiPriority w:val="99"/>
    <w:semiHidden/>
    <w:rsid w:val="00C55BDF"/>
    <w:rPr>
      <w:b/>
      <w:bCs/>
      <w:sz w:val="20"/>
      <w:szCs w:val="20"/>
    </w:rPr>
  </w:style>
  <w:style w:type="character" w:styleId="Hyperlink">
    <w:name w:val="Hyperlink"/>
    <w:basedOn w:val="Absatz-Standardschriftart"/>
    <w:uiPriority w:val="99"/>
    <w:unhideWhenUsed/>
    <w:rsid w:val="00FF5D81"/>
    <w:rPr>
      <w:color w:val="0563C1" w:themeColor="hyperlink"/>
      <w:u w:val="single"/>
    </w:rPr>
  </w:style>
  <w:style w:type="paragraph" w:styleId="Kopfzeile">
    <w:name w:val="header"/>
    <w:basedOn w:val="Standard"/>
    <w:link w:val="KopfzeileZchn"/>
    <w:uiPriority w:val="99"/>
    <w:unhideWhenUsed/>
    <w:rsid w:val="000043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368"/>
  </w:style>
  <w:style w:type="paragraph" w:styleId="Fuzeile">
    <w:name w:val="footer"/>
    <w:basedOn w:val="Standard"/>
    <w:link w:val="FuzeileZchn"/>
    <w:uiPriority w:val="99"/>
    <w:unhideWhenUsed/>
    <w:rsid w:val="000043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368"/>
  </w:style>
  <w:style w:type="paragraph" w:styleId="Funotentext">
    <w:name w:val="footnote text"/>
    <w:basedOn w:val="Standard"/>
    <w:link w:val="FunotentextZchn"/>
    <w:uiPriority w:val="99"/>
    <w:semiHidden/>
    <w:unhideWhenUsed/>
    <w:rsid w:val="00E255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5510"/>
    <w:rPr>
      <w:sz w:val="20"/>
      <w:szCs w:val="20"/>
    </w:rPr>
  </w:style>
  <w:style w:type="character" w:styleId="Funotenzeichen">
    <w:name w:val="footnote reference"/>
    <w:basedOn w:val="Absatz-Standardschriftart"/>
    <w:uiPriority w:val="99"/>
    <w:semiHidden/>
    <w:unhideWhenUsed/>
    <w:rsid w:val="00E25510"/>
    <w:rPr>
      <w:vertAlign w:val="superscript"/>
    </w:rPr>
  </w:style>
  <w:style w:type="paragraph" w:customStyle="1" w:styleId="Default">
    <w:name w:val="Default"/>
    <w:basedOn w:val="Standard"/>
    <w:rsid w:val="00881BC1"/>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sz w:val="24"/>
      <w:szCs w:val="24"/>
      <w:lang w:val="de-DE" w:eastAsia="de-DE"/>
    </w:rPr>
  </w:style>
  <w:style w:type="paragraph" w:styleId="Listenabsatz">
    <w:name w:val="List Paragraph"/>
    <w:basedOn w:val="Standard"/>
    <w:uiPriority w:val="34"/>
    <w:qFormat/>
    <w:rsid w:val="00B1269D"/>
    <w:pPr>
      <w:ind w:left="720"/>
      <w:contextualSpacing/>
    </w:pPr>
  </w:style>
  <w:style w:type="paragraph" w:styleId="Endnotentext">
    <w:name w:val="endnote text"/>
    <w:basedOn w:val="Standard"/>
    <w:link w:val="EndnotentextZchn"/>
    <w:uiPriority w:val="99"/>
    <w:semiHidden/>
    <w:unhideWhenUsed/>
    <w:rsid w:val="001B4F9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B4F94"/>
    <w:rPr>
      <w:sz w:val="20"/>
      <w:szCs w:val="20"/>
    </w:rPr>
  </w:style>
  <w:style w:type="character" w:styleId="Endnotenzeichen">
    <w:name w:val="endnote reference"/>
    <w:basedOn w:val="Absatz-Standardschriftart"/>
    <w:uiPriority w:val="99"/>
    <w:semiHidden/>
    <w:unhideWhenUsed/>
    <w:rsid w:val="001B4F94"/>
    <w:rPr>
      <w:vertAlign w:val="superscript"/>
    </w:rPr>
  </w:style>
  <w:style w:type="character" w:styleId="NichtaufgelsteErwhnung">
    <w:name w:val="Unresolved Mention"/>
    <w:basedOn w:val="Absatz-Standardschriftart"/>
    <w:uiPriority w:val="99"/>
    <w:semiHidden/>
    <w:unhideWhenUsed/>
    <w:rsid w:val="00DF3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9416">
      <w:bodyDiv w:val="1"/>
      <w:marLeft w:val="0"/>
      <w:marRight w:val="0"/>
      <w:marTop w:val="0"/>
      <w:marBottom w:val="0"/>
      <w:divBdr>
        <w:top w:val="none" w:sz="0" w:space="0" w:color="auto"/>
        <w:left w:val="none" w:sz="0" w:space="0" w:color="auto"/>
        <w:bottom w:val="none" w:sz="0" w:space="0" w:color="auto"/>
        <w:right w:val="none" w:sz="0" w:space="0" w:color="auto"/>
      </w:divBdr>
    </w:div>
    <w:div w:id="144214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rika.weigmann@sivanto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vantos.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signia-pro.com/ovp-stud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gnia-pro.com/motion-charge-go/"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7973-9104-45BB-9E85-2E175007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Whittaker Jeremy</dc:creator>
  <cp:lastModifiedBy>Wedler, Carolin</cp:lastModifiedBy>
  <cp:revision>3</cp:revision>
  <cp:lastPrinted>2018-10-12T16:11:00Z</cp:lastPrinted>
  <dcterms:created xsi:type="dcterms:W3CDTF">2018-10-12T16:12:00Z</dcterms:created>
  <dcterms:modified xsi:type="dcterms:W3CDTF">2018-10-15T09:30:00Z</dcterms:modified>
</cp:coreProperties>
</file>